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0DD24" w14:textId="3FAAB45B" w:rsidR="00D52BF3" w:rsidRPr="0049755C" w:rsidRDefault="00D730DD" w:rsidP="00D52BF3">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WG3 #99</w:t>
      </w:r>
      <w:r w:rsidR="004C05ED">
        <w:rPr>
          <w:rFonts w:ascii="Arial" w:hAnsi="Arial" w:cs="Arial"/>
          <w:b/>
          <w:sz w:val="24"/>
          <w:lang w:val="en-GB"/>
        </w:rPr>
        <w:t>bis</w:t>
      </w:r>
      <w:r w:rsidR="00D52BF3" w:rsidRPr="0049755C">
        <w:rPr>
          <w:rFonts w:ascii="Arial" w:hAnsi="Arial" w:cs="Arial"/>
          <w:b/>
          <w:sz w:val="24"/>
          <w:lang w:val="en-GB"/>
        </w:rPr>
        <w:tab/>
        <w:t xml:space="preserve">     </w:t>
      </w:r>
      <w:r w:rsidR="00D52BF3" w:rsidRPr="0049755C">
        <w:rPr>
          <w:rFonts w:ascii="Arial" w:hAnsi="Arial" w:cs="Arial"/>
          <w:b/>
          <w:sz w:val="24"/>
          <w:lang w:val="en-GB"/>
        </w:rPr>
        <w:tab/>
      </w:r>
      <w:r w:rsidR="00E03787" w:rsidRPr="0049755C">
        <w:rPr>
          <w:rFonts w:ascii="Arial" w:hAnsi="Arial" w:cs="Arial"/>
          <w:b/>
          <w:sz w:val="24"/>
          <w:lang w:val="en-GB"/>
        </w:rPr>
        <w:tab/>
      </w:r>
      <w:r>
        <w:rPr>
          <w:rFonts w:ascii="Arial" w:hAnsi="Arial" w:cs="Arial"/>
          <w:b/>
          <w:sz w:val="24"/>
          <w:lang w:val="en-GB"/>
        </w:rPr>
        <w:t>R3-</w:t>
      </w:r>
      <w:r w:rsidR="00527629" w:rsidRPr="00527629">
        <w:rPr>
          <w:rFonts w:ascii="Arial" w:hAnsi="Arial" w:cs="Arial"/>
          <w:b/>
          <w:sz w:val="24"/>
          <w:lang w:val="en-GB"/>
        </w:rPr>
        <w:t>182297</w:t>
      </w:r>
    </w:p>
    <w:p w14:paraId="57673FA3" w14:textId="107EF84A" w:rsidR="00616831" w:rsidRPr="0049755C" w:rsidRDefault="004C05ED" w:rsidP="00624F5C">
      <w:pPr>
        <w:pStyle w:val="TdocHeader2"/>
        <w:tabs>
          <w:tab w:val="clear" w:pos="9072"/>
          <w:tab w:val="right" w:pos="9720"/>
        </w:tabs>
        <w:rPr>
          <w:rFonts w:eastAsia="Malgun Gothic" w:cs="Arial"/>
          <w:sz w:val="24"/>
          <w:lang w:val="en-US" w:eastAsia="ko-KR"/>
        </w:rPr>
      </w:pPr>
      <w:proofErr w:type="spellStart"/>
      <w:r>
        <w:rPr>
          <w:rFonts w:eastAsia="Malgun Gothic" w:cs="Arial"/>
          <w:sz w:val="24"/>
          <w:lang w:val="en-US" w:eastAsia="ko-KR"/>
        </w:rPr>
        <w:t>Sanya</w:t>
      </w:r>
      <w:proofErr w:type="spellEnd"/>
      <w:r>
        <w:rPr>
          <w:rFonts w:eastAsia="Malgun Gothic" w:cs="Arial"/>
          <w:sz w:val="24"/>
          <w:lang w:val="en-US" w:eastAsia="ko-KR"/>
        </w:rPr>
        <w:t>, China, 16th April – 20th April</w:t>
      </w:r>
      <w:r w:rsidR="009D3945" w:rsidRPr="009D3945">
        <w:rPr>
          <w:rFonts w:eastAsia="Malgun Gothic" w:cs="Arial"/>
          <w:sz w:val="24"/>
          <w:lang w:val="en-US" w:eastAsia="ko-KR"/>
        </w:rPr>
        <w:t xml:space="preserve">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02EEF17C" w:rsidR="00D52BF3" w:rsidRPr="00B208AD" w:rsidRDefault="00D52BF3" w:rsidP="00D730DD">
      <w:pPr>
        <w:pStyle w:val="TdocHeader2"/>
        <w:spacing w:after="120"/>
        <w:ind w:left="1710" w:hanging="1710"/>
        <w:jc w:val="left"/>
        <w:rPr>
          <w:sz w:val="24"/>
        </w:rPr>
      </w:pPr>
      <w:r w:rsidRPr="00B208AD">
        <w:rPr>
          <w:sz w:val="24"/>
        </w:rPr>
        <w:t>Title:</w:t>
      </w:r>
      <w:bookmarkStart w:id="2" w:name="Title"/>
      <w:bookmarkEnd w:id="2"/>
      <w:r w:rsidRPr="00B208AD">
        <w:rPr>
          <w:sz w:val="24"/>
        </w:rPr>
        <w:tab/>
      </w:r>
      <w:r w:rsidR="00D730DD">
        <w:rPr>
          <w:sz w:val="24"/>
        </w:rPr>
        <w:tab/>
      </w:r>
      <w:r w:rsidR="00BE6A8B" w:rsidRPr="00BE6A8B">
        <w:rPr>
          <w:sz w:val="24"/>
        </w:rPr>
        <w:t>On backhauling of F1-U and F1-C for IAB with L2 relaying</w:t>
      </w:r>
    </w:p>
    <w:p w14:paraId="08AD6C06" w14:textId="45492125" w:rsidR="00D52BF3" w:rsidRPr="00B208AD" w:rsidRDefault="00D52BF3" w:rsidP="00700F24">
      <w:pPr>
        <w:pStyle w:val="TdocHeader2"/>
        <w:spacing w:after="120"/>
        <w:rPr>
          <w:sz w:val="24"/>
        </w:rPr>
      </w:pPr>
      <w:r w:rsidRPr="00B208AD">
        <w:rPr>
          <w:sz w:val="24"/>
        </w:rPr>
        <w:t>Agenda Item:</w:t>
      </w:r>
      <w:r w:rsidRPr="00B208AD">
        <w:rPr>
          <w:sz w:val="24"/>
        </w:rPr>
        <w:tab/>
      </w:r>
      <w:r w:rsidR="00D730DD">
        <w:rPr>
          <w:bCs/>
          <w:iCs/>
          <w:sz w:val="24"/>
        </w:rPr>
        <w:t>24</w:t>
      </w:r>
      <w:r w:rsidR="009D3945">
        <w:rPr>
          <w:bCs/>
          <w:iCs/>
          <w:sz w:val="24"/>
        </w:rPr>
        <w:t>.1</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8DD11BC" w14:textId="33808E10" w:rsidR="00AA7B2F" w:rsidRDefault="00317DDA" w:rsidP="00D11AD9">
      <w:pPr>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 xml:space="preserve">ial solutions for </w:t>
      </w:r>
      <w:r w:rsidR="00D25060">
        <w:rPr>
          <w:lang w:val="en-GB"/>
        </w:rPr>
        <w:t xml:space="preserve">the </w:t>
      </w:r>
      <w:r w:rsidR="00AA7B2F">
        <w:rPr>
          <w:lang w:val="en-GB"/>
        </w:rPr>
        <w:t xml:space="preserve">following </w:t>
      </w:r>
      <w:r w:rsidRPr="00317DDA">
        <w:rPr>
          <w:lang w:val="en-GB"/>
        </w:rPr>
        <w:t>requirements and aspects associated with the efficient operation of integrated acce</w:t>
      </w:r>
      <w:r w:rsidR="00E05BED">
        <w:rPr>
          <w:lang w:val="en-GB"/>
        </w:rPr>
        <w:t>ss and wireless backhaul for NR [1].</w:t>
      </w:r>
      <w:r>
        <w:rPr>
          <w:lang w:val="en-GB"/>
        </w:rPr>
        <w:t xml:space="preserve"> </w:t>
      </w:r>
    </w:p>
    <w:p w14:paraId="08E222CA" w14:textId="77777777" w:rsidR="00AA7B2F" w:rsidRPr="00081E05" w:rsidRDefault="00AA7B2F" w:rsidP="00AA7B2F">
      <w:pPr>
        <w:numPr>
          <w:ilvl w:val="0"/>
          <w:numId w:val="40"/>
        </w:numPr>
        <w:spacing w:after="0"/>
        <w:rPr>
          <w:bCs/>
        </w:rPr>
      </w:pPr>
      <w:r>
        <w:rPr>
          <w:bCs/>
        </w:rPr>
        <w:t xml:space="preserve">Efficient and flexible operation for both </w:t>
      </w:r>
      <w:proofErr w:type="spellStart"/>
      <w:r>
        <w:rPr>
          <w:bCs/>
        </w:rPr>
        <w:t>i</w:t>
      </w:r>
      <w:r w:rsidRPr="00081E05">
        <w:rPr>
          <w:bCs/>
        </w:rPr>
        <w:t>nband</w:t>
      </w:r>
      <w:proofErr w:type="spellEnd"/>
      <w:r w:rsidRPr="00081E05">
        <w:rPr>
          <w:bCs/>
        </w:rPr>
        <w:t xml:space="preserve"> and </w:t>
      </w:r>
      <w:proofErr w:type="spellStart"/>
      <w:r w:rsidRPr="00081E05">
        <w:rPr>
          <w:bCs/>
        </w:rPr>
        <w:t>outband</w:t>
      </w:r>
      <w:proofErr w:type="spellEnd"/>
      <w:r>
        <w:rPr>
          <w:bCs/>
        </w:rPr>
        <w:t xml:space="preserve"> relaying in indoor and outdoor scenarios </w:t>
      </w:r>
    </w:p>
    <w:p w14:paraId="665D4525" w14:textId="77777777" w:rsidR="00AA7B2F" w:rsidRDefault="00AA7B2F" w:rsidP="00AA7B2F">
      <w:pPr>
        <w:numPr>
          <w:ilvl w:val="0"/>
          <w:numId w:val="40"/>
        </w:numPr>
        <w:spacing w:after="0"/>
        <w:rPr>
          <w:bCs/>
        </w:rPr>
      </w:pPr>
      <w:r>
        <w:rPr>
          <w:bCs/>
        </w:rPr>
        <w:t>M</w:t>
      </w:r>
      <w:r w:rsidRPr="00081E05">
        <w:rPr>
          <w:bCs/>
        </w:rPr>
        <w:t>ulti-hop and redundant connectivity</w:t>
      </w:r>
    </w:p>
    <w:p w14:paraId="23328B43" w14:textId="77777777" w:rsidR="00AA7B2F" w:rsidRDefault="00AA7B2F" w:rsidP="00AA7B2F">
      <w:pPr>
        <w:numPr>
          <w:ilvl w:val="0"/>
          <w:numId w:val="40"/>
        </w:numPr>
        <w:spacing w:after="0"/>
        <w:rPr>
          <w:bCs/>
        </w:rPr>
      </w:pPr>
      <w:r>
        <w:rPr>
          <w:bCs/>
        </w:rPr>
        <w:t>End-to-end route selection and optimization</w:t>
      </w:r>
    </w:p>
    <w:p w14:paraId="6515559D" w14:textId="77777777" w:rsidR="00AA7B2F" w:rsidRDefault="00AA7B2F" w:rsidP="00AA7B2F">
      <w:pPr>
        <w:numPr>
          <w:ilvl w:val="0"/>
          <w:numId w:val="40"/>
        </w:numPr>
        <w:spacing w:after="0"/>
        <w:rPr>
          <w:bCs/>
        </w:rPr>
      </w:pPr>
      <w:r>
        <w:rPr>
          <w:bCs/>
        </w:rPr>
        <w:t>Support of backhaul links with high spectral efficiency</w:t>
      </w:r>
    </w:p>
    <w:p w14:paraId="017D6EF8" w14:textId="2CE1AB28" w:rsidR="00AA7B2F" w:rsidRDefault="00AA7B2F" w:rsidP="00D11AD9">
      <w:pPr>
        <w:numPr>
          <w:ilvl w:val="0"/>
          <w:numId w:val="40"/>
        </w:numPr>
        <w:spacing w:after="0"/>
        <w:rPr>
          <w:bCs/>
        </w:rPr>
      </w:pPr>
      <w:r w:rsidRPr="00081E05">
        <w:rPr>
          <w:bCs/>
        </w:rPr>
        <w:t xml:space="preserve">Support of legacy </w:t>
      </w:r>
      <w:r>
        <w:rPr>
          <w:bCs/>
        </w:rPr>
        <w:t xml:space="preserve">NR </w:t>
      </w:r>
      <w:r w:rsidRPr="00081E05">
        <w:rPr>
          <w:bCs/>
        </w:rPr>
        <w:t>UEs</w:t>
      </w:r>
    </w:p>
    <w:p w14:paraId="686FE11D" w14:textId="77777777" w:rsidR="00F14D2B" w:rsidRPr="00F14D2B" w:rsidRDefault="00F14D2B" w:rsidP="00F14D2B">
      <w:pPr>
        <w:spacing w:after="0"/>
        <w:ind w:left="720"/>
        <w:rPr>
          <w:bCs/>
        </w:rPr>
      </w:pPr>
    </w:p>
    <w:p w14:paraId="385E6D1B" w14:textId="6FF450C9" w:rsidR="00827431" w:rsidRDefault="00827431" w:rsidP="00D11AD9">
      <w:pPr>
        <w:rPr>
          <w:lang w:val="en-GB"/>
        </w:rPr>
      </w:pPr>
      <w:r>
        <w:rPr>
          <w:lang w:val="en-GB"/>
        </w:rPr>
        <w:t xml:space="preserve">At the RAN2 #AH_1801 meeting </w:t>
      </w:r>
      <w:r w:rsidR="00035EA3">
        <w:rPr>
          <w:lang w:val="en-GB"/>
        </w:rPr>
        <w:t>the following agreements were made regarding IAB SI:</w:t>
      </w:r>
    </w:p>
    <w:p w14:paraId="4DECDFB5"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Agreements</w:t>
      </w:r>
    </w:p>
    <w:p w14:paraId="134F01C4"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 xml:space="preserve">1: </w:t>
      </w:r>
      <w:r w:rsidRPr="00035EA3">
        <w:rPr>
          <w:rFonts w:ascii="Arial" w:eastAsia="MS Mincho" w:hAnsi="Arial"/>
          <w:sz w:val="20"/>
          <w:szCs w:val="24"/>
          <w:lang w:val="x-none" w:eastAsia="en-GB"/>
        </w:rPr>
        <w:tab/>
        <w:t>The Rel.15 study item focuses on IAB with physically fixed relays. Optimization for mobile relays in future releases is not precluded</w:t>
      </w:r>
    </w:p>
    <w:p w14:paraId="59037BF7"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2</w:t>
      </w:r>
      <w:r w:rsidRPr="00035EA3">
        <w:rPr>
          <w:rFonts w:ascii="Arial" w:eastAsia="MS Mincho" w:hAnsi="Arial"/>
          <w:sz w:val="20"/>
          <w:szCs w:val="24"/>
          <w:lang w:val="x-none" w:eastAsia="en-GB"/>
        </w:rPr>
        <w:tab/>
        <w:t xml:space="preserve">Common architecture supports both in-band and out-of-band IAB scenarios. </w:t>
      </w:r>
    </w:p>
    <w:p w14:paraId="75B7A2AC"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2i</w:t>
      </w:r>
      <w:r w:rsidRPr="00035EA3">
        <w:rPr>
          <w:rFonts w:ascii="Arial" w:eastAsia="MS Mincho" w:hAnsi="Arial"/>
          <w:sz w:val="20"/>
          <w:szCs w:val="24"/>
          <w:lang w:val="x-none" w:eastAsia="en-GB"/>
        </w:rPr>
        <w:tab/>
        <w:t>In-band IAB scenarios including (TDM/FDM/SDM) of access and backhaul links subject to half-duplex constraint at the IAB node are supported (This agreement does not exclude full duplex from being studied by RAN1)</w:t>
      </w:r>
    </w:p>
    <w:p w14:paraId="20E88890"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2ii</w:t>
      </w:r>
      <w:r w:rsidRPr="00035EA3">
        <w:rPr>
          <w:rFonts w:ascii="Arial" w:eastAsia="MS Mincho" w:hAnsi="Arial"/>
          <w:sz w:val="20"/>
          <w:szCs w:val="24"/>
          <w:lang w:val="x-none" w:eastAsia="en-GB"/>
        </w:rPr>
        <w:tab/>
        <w:t>Out-of-band IAB scenarios are also supported using the same set of RAN features designed for in-band scenarios.  Study whether additional RAN features are needed for out-of-band scenarios</w:t>
      </w:r>
    </w:p>
    <w:p w14:paraId="13CBBB55"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3</w:t>
      </w:r>
      <w:r w:rsidRPr="00035EA3">
        <w:rPr>
          <w:rFonts w:ascii="Arial" w:eastAsia="MS Mincho" w:hAnsi="Arial"/>
          <w:sz w:val="20"/>
          <w:szCs w:val="24"/>
          <w:lang w:val="x-none" w:eastAsia="en-GB"/>
        </w:rPr>
        <w:tab/>
        <w:t xml:space="preserve">NR access over NR backhaul is studied with highest priority </w:t>
      </w:r>
    </w:p>
    <w:p w14:paraId="09DE5624"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3i</w:t>
      </w:r>
      <w:r w:rsidRPr="00035EA3">
        <w:rPr>
          <w:rFonts w:ascii="Arial" w:eastAsia="MS Mincho" w:hAnsi="Arial"/>
          <w:sz w:val="20"/>
          <w:szCs w:val="24"/>
          <w:lang w:val="x-none" w:eastAsia="en-GB"/>
        </w:rPr>
        <w:tab/>
        <w:t>Identify the additional architecture solutions required for LTE access over NR backhaul</w:t>
      </w:r>
    </w:p>
    <w:p w14:paraId="319B67A4"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3ii</w:t>
      </w:r>
      <w:r w:rsidRPr="00035EA3">
        <w:rPr>
          <w:rFonts w:ascii="Arial" w:eastAsia="MS Mincho" w:hAnsi="Arial"/>
          <w:sz w:val="20"/>
          <w:szCs w:val="24"/>
          <w:lang w:val="x-none" w:eastAsia="en-GB"/>
        </w:rPr>
        <w:tab/>
        <w:t>The IAB design shall at least support the following UEs to connect to a node which is backhauled using IAB:</w:t>
      </w:r>
    </w:p>
    <w:p w14:paraId="31E3B9C6"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b/>
        <w:t>1/</w:t>
      </w:r>
      <w:r w:rsidRPr="00035EA3">
        <w:rPr>
          <w:rFonts w:ascii="Arial" w:eastAsia="MS Mincho" w:hAnsi="Arial"/>
          <w:sz w:val="20"/>
          <w:szCs w:val="24"/>
          <w:lang w:val="x-none" w:eastAsia="en-GB"/>
        </w:rPr>
        <w:tab/>
        <w:t>Rel. 15 NR UE</w:t>
      </w:r>
    </w:p>
    <w:p w14:paraId="085AA771"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b/>
        <w:t>2/</w:t>
      </w:r>
      <w:r w:rsidRPr="00035EA3">
        <w:rPr>
          <w:rFonts w:ascii="Arial" w:eastAsia="MS Mincho" w:hAnsi="Arial"/>
          <w:sz w:val="20"/>
          <w:szCs w:val="24"/>
          <w:lang w:val="x-none" w:eastAsia="en-GB"/>
        </w:rPr>
        <w:tab/>
        <w:t>Legacy LTE UE if IAB supports backhauling of LTE access</w:t>
      </w:r>
    </w:p>
    <w:p w14:paraId="18D64A9B"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4i</w:t>
      </w:r>
      <w:r w:rsidRPr="00035EA3">
        <w:rPr>
          <w:rFonts w:ascii="Arial" w:eastAsia="MS Mincho" w:hAnsi="Arial"/>
          <w:sz w:val="20"/>
          <w:szCs w:val="24"/>
          <w:lang w:val="x-none" w:eastAsia="en-GB"/>
        </w:rPr>
        <w:tab/>
        <w:t>SA and NSA on the access link will be supported (For NSA on the access the relay is applied to the NR SCG path only)</w:t>
      </w:r>
    </w:p>
    <w:p w14:paraId="6FF8EAC2"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4ii</w:t>
      </w:r>
      <w:r w:rsidRPr="00035EA3">
        <w:rPr>
          <w:rFonts w:ascii="Arial" w:eastAsia="MS Mincho" w:hAnsi="Arial"/>
          <w:sz w:val="20"/>
          <w:szCs w:val="24"/>
          <w:lang w:val="x-none" w:eastAsia="en-GB"/>
        </w:rPr>
        <w:tab/>
        <w:t xml:space="preserve">Both NSA and SA for the backhaul links will be studied. (For both SA and NSA backhaul, we will not study backhaul traffic over the LTE radio interface). </w:t>
      </w:r>
    </w:p>
    <w:p w14:paraId="3B52F522"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4iii</w:t>
      </w:r>
      <w:r w:rsidRPr="00035EA3">
        <w:rPr>
          <w:rFonts w:ascii="Arial" w:eastAsia="MS Mincho" w:hAnsi="Arial"/>
          <w:sz w:val="20"/>
          <w:szCs w:val="24"/>
          <w:lang w:val="x-none" w:eastAsia="en-GB"/>
        </w:rPr>
        <w:tab/>
        <w:t>For both 4i and 4ii the priority within the NSA options will be to consider the EN-DC case but this does not preclude study for other NSA options.</w:t>
      </w:r>
    </w:p>
    <w:p w14:paraId="7892FF7A"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4iv Further study of the possible combinations of SA and NSA access and backhaul is needed to fully determine the scope of what will be studied.</w:t>
      </w:r>
    </w:p>
    <w:p w14:paraId="2C7D019D" w14:textId="489A117A" w:rsidR="00035EA3" w:rsidRDefault="00035EA3" w:rsidP="00035EA3">
      <w:pPr>
        <w:rPr>
          <w:lang w:val="en-GB"/>
        </w:rPr>
      </w:pPr>
    </w:p>
    <w:p w14:paraId="3F8B1A63"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Agreements</w:t>
      </w:r>
    </w:p>
    <w:p w14:paraId="56801AFD"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1: IAB design shall support multiple backhaul hops</w:t>
      </w:r>
    </w:p>
    <w:p w14:paraId="0B983048"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b/>
        <w:t>-</w:t>
      </w:r>
      <w:r w:rsidRPr="00035EA3">
        <w:rPr>
          <w:rFonts w:ascii="Arial" w:eastAsia="MS Mincho" w:hAnsi="Arial"/>
          <w:sz w:val="20"/>
          <w:szCs w:val="24"/>
          <w:lang w:val="x-none" w:eastAsia="en-GB"/>
        </w:rPr>
        <w:tab/>
        <w:t>The architecture should not impose limits on the number of backhaul hops.</w:t>
      </w:r>
    </w:p>
    <w:p w14:paraId="688101DC"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lastRenderedPageBreak/>
        <w:tab/>
        <w:t>-</w:t>
      </w:r>
      <w:r w:rsidRPr="00035EA3">
        <w:rPr>
          <w:rFonts w:ascii="Arial" w:eastAsia="MS Mincho" w:hAnsi="Arial"/>
          <w:sz w:val="20"/>
          <w:szCs w:val="24"/>
          <w:lang w:val="x-none" w:eastAsia="en-GB"/>
        </w:rPr>
        <w:tab/>
        <w:t>The study should consider scalability to hop-count an important KPI.</w:t>
      </w:r>
    </w:p>
    <w:p w14:paraId="38314E9B"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b/>
        <w:t>-</w:t>
      </w:r>
      <w:r w:rsidRPr="00035EA3">
        <w:rPr>
          <w:rFonts w:ascii="Arial" w:eastAsia="MS Mincho" w:hAnsi="Arial"/>
          <w:sz w:val="20"/>
          <w:szCs w:val="24"/>
          <w:lang w:val="x-none" w:eastAsia="en-GB"/>
        </w:rPr>
        <w:tab/>
        <w:t>Single hop is considered a special case of multiple backhaul hops.</w:t>
      </w:r>
    </w:p>
    <w:p w14:paraId="56A1698C"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2: Topology adaptation for physically fixed relays is supported to enable robust operation, e.g., mitigate blockage and load variation on backhaul links</w:t>
      </w:r>
    </w:p>
    <w:p w14:paraId="095B0684"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3: L2 and L3 relay architectures will be studied. Definitions of L2- and L3-relaying in the context of IAB is FFS</w:t>
      </w:r>
    </w:p>
    <w:p w14:paraId="0415A397"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4: The IAB design should minimize the impact to core network specifications</w:t>
      </w:r>
    </w:p>
    <w:p w14:paraId="4D317CB8"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 xml:space="preserve">5: The study should consider the impact to the core network </w:t>
      </w:r>
      <w:proofErr w:type="spellStart"/>
      <w:r w:rsidRPr="00035EA3">
        <w:rPr>
          <w:rFonts w:ascii="Arial" w:eastAsia="MS Mincho" w:hAnsi="Arial"/>
          <w:sz w:val="20"/>
          <w:szCs w:val="24"/>
          <w:lang w:val="x-none" w:eastAsia="en-GB"/>
        </w:rPr>
        <w:t>signalling</w:t>
      </w:r>
      <w:proofErr w:type="spellEnd"/>
      <w:r w:rsidRPr="00035EA3">
        <w:rPr>
          <w:rFonts w:ascii="Arial" w:eastAsia="MS Mincho" w:hAnsi="Arial"/>
          <w:sz w:val="20"/>
          <w:szCs w:val="24"/>
          <w:lang w:val="x-none" w:eastAsia="en-GB"/>
        </w:rPr>
        <w:t xml:space="preserve"> load as an important KPI</w:t>
      </w:r>
    </w:p>
    <w:p w14:paraId="7E8A86C4"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6: Strive to maximize reuse of Rel-15 NR specifications for the design of the backhaul link. Enhancement can also be considered.</w:t>
      </w:r>
    </w:p>
    <w:p w14:paraId="76354284" w14:textId="1E3ED095" w:rsidR="00827431" w:rsidRDefault="00827431" w:rsidP="00D11AD9">
      <w:pPr>
        <w:rPr>
          <w:lang w:val="en-GB"/>
        </w:rPr>
      </w:pPr>
    </w:p>
    <w:p w14:paraId="105EFA16" w14:textId="77777777" w:rsidR="009906E8" w:rsidRDefault="009906E8" w:rsidP="009906E8">
      <w:pPr>
        <w:rPr>
          <w:rFonts w:eastAsia="Malgun Gothic"/>
        </w:rPr>
      </w:pPr>
      <w:r>
        <w:rPr>
          <w:lang w:val="en-GB"/>
        </w:rPr>
        <w:t xml:space="preserve">Additionally, in </w:t>
      </w:r>
      <w:r>
        <w:t>TR 38.874 v0.1.0 the terms IAB-node and the IAB-donor were defined as follows:</w:t>
      </w:r>
    </w:p>
    <w:p w14:paraId="26ACC6E8" w14:textId="77777777" w:rsidR="009906E8" w:rsidRDefault="009906E8" w:rsidP="009906E8">
      <w:pPr>
        <w:pStyle w:val="EW"/>
        <w:numPr>
          <w:ilvl w:val="0"/>
          <w:numId w:val="42"/>
        </w:numPr>
        <w:pBdr>
          <w:top w:val="single" w:sz="4" w:space="1" w:color="auto"/>
          <w:left w:val="single" w:sz="4" w:space="4" w:color="auto"/>
          <w:bottom w:val="single" w:sz="4" w:space="1" w:color="auto"/>
          <w:right w:val="single" w:sz="4" w:space="4" w:color="auto"/>
        </w:pBdr>
        <w:spacing w:after="120"/>
        <w:ind w:left="648"/>
      </w:pPr>
      <w:r>
        <w:rPr>
          <w:b/>
        </w:rPr>
        <w:t>IAB-node</w:t>
      </w:r>
      <w:r>
        <w:t xml:space="preserve">: RAN node that supports wireless access to UEs and wirelessly backhauls the access traffic. </w:t>
      </w:r>
    </w:p>
    <w:p w14:paraId="3E05D0AF" w14:textId="41386979" w:rsidR="009906E8" w:rsidRPr="00723AD7" w:rsidRDefault="009906E8" w:rsidP="00D11AD9">
      <w:pPr>
        <w:pStyle w:val="EW"/>
        <w:numPr>
          <w:ilvl w:val="0"/>
          <w:numId w:val="42"/>
        </w:numPr>
        <w:pBdr>
          <w:top w:val="single" w:sz="4" w:space="1" w:color="auto"/>
          <w:left w:val="single" w:sz="4" w:space="4" w:color="auto"/>
          <w:bottom w:val="single" w:sz="4" w:space="1" w:color="auto"/>
          <w:right w:val="single" w:sz="4" w:space="4" w:color="auto"/>
        </w:pBdr>
        <w:spacing w:after="120"/>
        <w:ind w:left="648"/>
      </w:pPr>
      <w:r>
        <w:rPr>
          <w:b/>
        </w:rPr>
        <w:t>IAB-donor</w:t>
      </w:r>
      <w:r>
        <w:t>: RAN node which provides UE’s interface to core network and wireless backhauling functionality to IAB nodes.</w:t>
      </w:r>
    </w:p>
    <w:p w14:paraId="60C9CC8C" w14:textId="43F4BFB1" w:rsidR="00723AD7" w:rsidRDefault="00723AD7" w:rsidP="00D11AD9">
      <w:pPr>
        <w:rPr>
          <w:lang w:val="en-GB"/>
        </w:rPr>
      </w:pPr>
    </w:p>
    <w:p w14:paraId="69E51996" w14:textId="6AD1CAB3" w:rsidR="001F42C9" w:rsidRDefault="00723AD7" w:rsidP="00D11AD9">
      <w:pPr>
        <w:rPr>
          <w:lang w:val="en-GB"/>
        </w:rPr>
      </w:pPr>
      <w:r>
        <w:rPr>
          <w:lang w:val="en-GB"/>
        </w:rPr>
        <w:t xml:space="preserve">When IAB is deployed in a network where </w:t>
      </w:r>
      <w:proofErr w:type="spellStart"/>
      <w:r>
        <w:rPr>
          <w:lang w:val="en-GB"/>
        </w:rPr>
        <w:t>gNBs</w:t>
      </w:r>
      <w:proofErr w:type="spellEnd"/>
      <w:r>
        <w:rPr>
          <w:lang w:val="en-GB"/>
        </w:rPr>
        <w:t xml:space="preserve"> are deployed with a CU-DU split architecture, the F1-U and F1-C interfaces need to be relayed respectively from the CU-UP and CU-CP to the DU of the serving IAB node. </w:t>
      </w:r>
      <w:r w:rsidR="001F42C9">
        <w:rPr>
          <w:lang w:val="en-GB"/>
        </w:rPr>
        <w:t>In this contribution we present some considerations for the backhauling of F1-U and F1-</w:t>
      </w:r>
      <w:r w:rsidR="00104EC2">
        <w:rPr>
          <w:lang w:val="en-GB"/>
        </w:rPr>
        <w:t>C for two L2 relaying architectures that have been proposed and discussed in RAN3 [2].</w:t>
      </w:r>
    </w:p>
    <w:p w14:paraId="77536EDE" w14:textId="77777777" w:rsidR="001B00DF" w:rsidRDefault="001B00DF" w:rsidP="001B00DF">
      <w:pPr>
        <w:spacing w:after="0"/>
        <w:rPr>
          <w:rFonts w:eastAsia="MS Mincho"/>
          <w:b/>
          <w:lang w:val="en-GB"/>
        </w:rPr>
      </w:pPr>
      <w:r>
        <w:rPr>
          <w:b/>
          <w:lang w:val="en-GB"/>
        </w:rPr>
        <w:t xml:space="preserve">Architecture 1a: </w:t>
      </w:r>
    </w:p>
    <w:p w14:paraId="56D13142" w14:textId="77777777" w:rsidR="001B00DF" w:rsidRDefault="001B00DF" w:rsidP="001B00DF">
      <w:pPr>
        <w:numPr>
          <w:ilvl w:val="0"/>
          <w:numId w:val="43"/>
        </w:numPr>
        <w:overflowPunct/>
        <w:autoSpaceDE/>
        <w:autoSpaceDN/>
        <w:adjustRightInd/>
        <w:spacing w:after="0" w:line="256" w:lineRule="auto"/>
        <w:textAlignment w:val="auto"/>
        <w:rPr>
          <w:lang w:val="en-GB"/>
        </w:rPr>
      </w:pPr>
      <w:r>
        <w:rPr>
          <w:lang w:val="en-GB"/>
        </w:rPr>
        <w:t xml:space="preserve">Backhauling of F1-U uses an adaptation layer or GTP-U combined with an adaptation layer. </w:t>
      </w:r>
    </w:p>
    <w:p w14:paraId="325B9F7F" w14:textId="77777777" w:rsidR="001B00DF" w:rsidRDefault="001B00DF" w:rsidP="001B00DF">
      <w:pPr>
        <w:numPr>
          <w:ilvl w:val="0"/>
          <w:numId w:val="43"/>
        </w:numPr>
        <w:overflowPunct/>
        <w:autoSpaceDE/>
        <w:autoSpaceDN/>
        <w:adjustRightInd/>
        <w:spacing w:after="0" w:line="256" w:lineRule="auto"/>
        <w:textAlignment w:val="auto"/>
        <w:rPr>
          <w:lang w:val="en-GB"/>
        </w:rPr>
      </w:pPr>
      <w:r>
        <w:rPr>
          <w:lang w:val="en-GB"/>
        </w:rPr>
        <w:t>Hop-by-hop forwarding across intermediate nodes uses the adaptation layer.</w:t>
      </w:r>
    </w:p>
    <w:p w14:paraId="000A01CC" w14:textId="61BED558" w:rsidR="001B00DF" w:rsidRDefault="001B00DF" w:rsidP="001B00DF">
      <w:pPr>
        <w:spacing w:after="0"/>
        <w:rPr>
          <w:lang w:val="en-GB"/>
        </w:rPr>
      </w:pPr>
      <w:r>
        <w:rPr>
          <w:noProof/>
          <w:lang w:eastAsia="zh-CN"/>
        </w:rPr>
        <w:drawing>
          <wp:inline distT="0" distB="0" distL="0" distR="0" wp14:anchorId="23A574B5" wp14:editId="1D7B0398">
            <wp:extent cx="5943600" cy="16668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666875"/>
                    </a:xfrm>
                    <a:prstGeom prst="rect">
                      <a:avLst/>
                    </a:prstGeom>
                    <a:noFill/>
                    <a:ln>
                      <a:noFill/>
                    </a:ln>
                  </pic:spPr>
                </pic:pic>
              </a:graphicData>
            </a:graphic>
          </wp:inline>
        </w:drawing>
      </w:r>
    </w:p>
    <w:p w14:paraId="1AF3B1A6" w14:textId="77777777" w:rsidR="001B00DF" w:rsidRDefault="001B00DF" w:rsidP="001B00DF">
      <w:pPr>
        <w:spacing w:after="0"/>
        <w:rPr>
          <w:b/>
          <w:lang w:val="en-GB"/>
        </w:rPr>
      </w:pPr>
      <w:r>
        <w:rPr>
          <w:b/>
          <w:lang w:val="en-GB"/>
        </w:rPr>
        <w:t xml:space="preserve">Architecture 1b: </w:t>
      </w:r>
    </w:p>
    <w:p w14:paraId="11F2FA02" w14:textId="77777777" w:rsidR="001B00DF" w:rsidRDefault="001B00DF" w:rsidP="001B00DF">
      <w:pPr>
        <w:numPr>
          <w:ilvl w:val="0"/>
          <w:numId w:val="43"/>
        </w:numPr>
        <w:overflowPunct/>
        <w:autoSpaceDE/>
        <w:autoSpaceDN/>
        <w:adjustRightInd/>
        <w:spacing w:after="0" w:line="256" w:lineRule="auto"/>
        <w:textAlignment w:val="auto"/>
        <w:rPr>
          <w:lang w:val="en-GB"/>
        </w:rPr>
      </w:pPr>
      <w:r>
        <w:rPr>
          <w:lang w:val="en-GB"/>
        </w:rPr>
        <w:t xml:space="preserve">Backhauling of F1-U on access node uses GTP-U/UDP/IP. </w:t>
      </w:r>
    </w:p>
    <w:p w14:paraId="316DD700" w14:textId="77777777" w:rsidR="001B00DF" w:rsidRDefault="001B00DF" w:rsidP="001B00DF">
      <w:pPr>
        <w:numPr>
          <w:ilvl w:val="0"/>
          <w:numId w:val="43"/>
        </w:numPr>
        <w:overflowPunct/>
        <w:autoSpaceDE/>
        <w:autoSpaceDN/>
        <w:adjustRightInd/>
        <w:spacing w:after="0" w:line="256" w:lineRule="auto"/>
        <w:textAlignment w:val="auto"/>
        <w:rPr>
          <w:lang w:val="en-GB"/>
        </w:rPr>
      </w:pPr>
      <w:r>
        <w:rPr>
          <w:lang w:val="en-GB"/>
        </w:rPr>
        <w:t>Hob-by-hop forwarding across intermediate node uses the adaptation layer.</w:t>
      </w:r>
    </w:p>
    <w:p w14:paraId="5DDDDE49" w14:textId="77777777" w:rsidR="001B00DF" w:rsidRPr="009A55F5" w:rsidRDefault="001B00DF" w:rsidP="001B00DF">
      <w:pPr>
        <w:spacing w:after="0"/>
        <w:ind w:left="-336"/>
        <w:rPr>
          <w:lang w:val="en-GB"/>
        </w:rPr>
      </w:pPr>
      <w:r>
        <w:rPr>
          <w:noProof/>
          <w:lang w:eastAsia="zh-CN"/>
        </w:rPr>
        <w:drawing>
          <wp:inline distT="0" distB="0" distL="0" distR="0" wp14:anchorId="1345AEC5" wp14:editId="734E7928">
            <wp:extent cx="5943600" cy="1609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609725"/>
                    </a:xfrm>
                    <a:prstGeom prst="rect">
                      <a:avLst/>
                    </a:prstGeom>
                    <a:noFill/>
                    <a:ln>
                      <a:noFill/>
                    </a:ln>
                  </pic:spPr>
                </pic:pic>
              </a:graphicData>
            </a:graphic>
          </wp:inline>
        </w:drawing>
      </w:r>
    </w:p>
    <w:p w14:paraId="17190CB0" w14:textId="77777777" w:rsidR="001C2188" w:rsidRDefault="001C2188" w:rsidP="00D11AD9">
      <w:pPr>
        <w:rPr>
          <w:lang w:val="en-GB"/>
        </w:rPr>
      </w:pPr>
    </w:p>
    <w:p w14:paraId="3910AB39" w14:textId="1856EE3B" w:rsidR="006F1AB8" w:rsidRDefault="00AC0C4D" w:rsidP="00C26A7D">
      <w:pPr>
        <w:pStyle w:val="Heading1"/>
      </w:pPr>
      <w:r>
        <w:lastRenderedPageBreak/>
        <w:t>Backhauling of F1-U for IAB with L2 Relaying</w:t>
      </w:r>
    </w:p>
    <w:p w14:paraId="0C0CB5C4" w14:textId="19A120F1" w:rsidR="001F42C9" w:rsidRDefault="001B00DF" w:rsidP="001F42C9">
      <w:pPr>
        <w:rPr>
          <w:lang w:val="en-GB"/>
        </w:rPr>
      </w:pPr>
      <w:r>
        <w:rPr>
          <w:lang w:val="en-GB"/>
        </w:rPr>
        <w:t>For the user plane, t</w:t>
      </w:r>
      <w:r w:rsidR="001F42C9">
        <w:rPr>
          <w:lang w:val="en-GB"/>
        </w:rPr>
        <w:t xml:space="preserve">he </w:t>
      </w:r>
      <w:r>
        <w:rPr>
          <w:lang w:val="en-GB"/>
        </w:rPr>
        <w:t>main difference between architectures 1a and 1b is in how the F1-U interface is carried from the CU to the DU at the serving IAB node. In architecture 1b, the F1-U is explicitly tunnelled through the relay architecture to the DU at the serving IAB node to allow end-to-end bearer association between the DU at the serving IAB node and the CU. In architecture 1a, the F1-U is not explicitly tunnelled but the information required to provide end-to-end bearer association between the DU at the serving IAB node and the CU is incorporated into headers at the adaptation layer at the IAB nodes. There could be several variations of this architectu</w:t>
      </w:r>
      <w:r w:rsidR="00FA7A9C">
        <w:rPr>
          <w:lang w:val="en-GB"/>
        </w:rPr>
        <w:t xml:space="preserve">re. In one variation both the GTP-U and IP headers are incorporated into the adaptation layer. Alternatively, only the IP header could be incorporated into the adaptation layer while the GTP-U header could be explicitly carried. In other variations the UE and bearer information could be directly incorporated into the adaptation layer for end-to-end association. </w:t>
      </w:r>
    </w:p>
    <w:p w14:paraId="55797F69" w14:textId="1E326A35" w:rsidR="00FA7A9C" w:rsidRDefault="00FA7A9C" w:rsidP="001F42C9">
      <w:pPr>
        <w:rPr>
          <w:lang w:val="en-GB"/>
        </w:rPr>
      </w:pPr>
      <w:r>
        <w:rPr>
          <w:lang w:val="en-GB"/>
        </w:rPr>
        <w:t xml:space="preserve">Figures 2a and 2b below show the end-to-end user plane protocol stacks for architectures 1a and 1b. Note that for architecture 1a we assume that both the GTP-U and IP header information is incorporated into the adaptation layer. </w:t>
      </w:r>
    </w:p>
    <w:p w14:paraId="0F212D07" w14:textId="4CC19901" w:rsidR="00FA7A9C" w:rsidRDefault="00FA7A9C" w:rsidP="000F10A1">
      <w:pPr>
        <w:jc w:val="center"/>
        <w:rPr>
          <w:lang w:val="en-GB"/>
        </w:rPr>
      </w:pPr>
      <w:r>
        <w:rPr>
          <w:noProof/>
          <w:lang w:val="en-GB"/>
        </w:rPr>
        <w:drawing>
          <wp:inline distT="0" distB="0" distL="0" distR="0" wp14:anchorId="1B9A65C6" wp14:editId="204EEF56">
            <wp:extent cx="6139564" cy="158356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27764" cy="1606313"/>
                    </a:xfrm>
                    <a:prstGeom prst="rect">
                      <a:avLst/>
                    </a:prstGeom>
                    <a:noFill/>
                  </pic:spPr>
                </pic:pic>
              </a:graphicData>
            </a:graphic>
          </wp:inline>
        </w:drawing>
      </w:r>
    </w:p>
    <w:p w14:paraId="3A178984" w14:textId="6436BDF6" w:rsidR="00FA7A9C" w:rsidRDefault="00FA7A9C" w:rsidP="00FA7A9C">
      <w:pPr>
        <w:jc w:val="center"/>
        <w:rPr>
          <w:lang w:val="en-GB"/>
        </w:rPr>
      </w:pPr>
      <w:r>
        <w:rPr>
          <w:lang w:val="en-GB"/>
        </w:rPr>
        <w:t>Figure 2a. User plane protocol stack for architecture 1a</w:t>
      </w:r>
    </w:p>
    <w:p w14:paraId="623D8F2D" w14:textId="7FCB3EBC" w:rsidR="00FA7A9C" w:rsidRDefault="008365EB" w:rsidP="0008638E">
      <w:pPr>
        <w:rPr>
          <w:lang w:val="en-GB"/>
        </w:rPr>
      </w:pPr>
      <w:r>
        <w:rPr>
          <w:noProof/>
          <w:lang w:val="en-GB"/>
        </w:rPr>
        <w:drawing>
          <wp:inline distT="0" distB="0" distL="0" distR="0" wp14:anchorId="2CF2091C" wp14:editId="1300E12B">
            <wp:extent cx="6600252" cy="2073407"/>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49657" cy="2088927"/>
                    </a:xfrm>
                    <a:prstGeom prst="rect">
                      <a:avLst/>
                    </a:prstGeom>
                    <a:noFill/>
                  </pic:spPr>
                </pic:pic>
              </a:graphicData>
            </a:graphic>
          </wp:inline>
        </w:drawing>
      </w:r>
    </w:p>
    <w:p w14:paraId="21735451" w14:textId="075D5337" w:rsidR="008365EB" w:rsidRDefault="008365EB" w:rsidP="008365EB">
      <w:pPr>
        <w:jc w:val="center"/>
        <w:rPr>
          <w:lang w:val="en-GB"/>
        </w:rPr>
      </w:pPr>
      <w:r>
        <w:rPr>
          <w:lang w:val="en-GB"/>
        </w:rPr>
        <w:t>Figure 2a. User plane protocol stack for architecture 1b</w:t>
      </w:r>
    </w:p>
    <w:p w14:paraId="7A58DD07" w14:textId="52E6300D" w:rsidR="009A55F5" w:rsidRDefault="006469A7" w:rsidP="006469A7">
      <w:r>
        <w:t>Discussion:</w:t>
      </w:r>
    </w:p>
    <w:p w14:paraId="40D7D8E6" w14:textId="41AE1313" w:rsidR="006469A7" w:rsidRDefault="006469A7" w:rsidP="006469A7">
      <w:pPr>
        <w:pStyle w:val="ListParagraph"/>
        <w:numPr>
          <w:ilvl w:val="0"/>
          <w:numId w:val="44"/>
        </w:numPr>
      </w:pPr>
      <w:r w:rsidRPr="00FF46F4">
        <w:rPr>
          <w:b/>
        </w:rPr>
        <w:t>Protocol overhead</w:t>
      </w:r>
      <w:r>
        <w:t xml:space="preserve"> – Architecture 1b needs to explicitly carry the F1-U stack headers to the serving IAB node, while architecture 1a incorporates that information in the adaptation layer headers. So, there could be a slightly higher protocol overhead for architecture 1b, but the overhead difference between the two architectures may not be large or of much consequence. </w:t>
      </w:r>
    </w:p>
    <w:p w14:paraId="4E1E8E80" w14:textId="2B90A87B" w:rsidR="00FF46F4" w:rsidRDefault="00FF46F4" w:rsidP="006469A7">
      <w:pPr>
        <w:pStyle w:val="ListParagraph"/>
        <w:numPr>
          <w:ilvl w:val="0"/>
          <w:numId w:val="44"/>
        </w:numPr>
      </w:pPr>
      <w:r>
        <w:rPr>
          <w:b/>
        </w:rPr>
        <w:lastRenderedPageBreak/>
        <w:t>CU complexity</w:t>
      </w:r>
      <w:r>
        <w:t xml:space="preserve"> – Architecture 1b requires two CU-UP entities and a UPF at the CU to enable explicit tunneling of the F1-U interface to the serving IAB node. This makes the CU functionality more complex for architecture 1b compared to architecture 1a. </w:t>
      </w:r>
    </w:p>
    <w:p w14:paraId="30BF1CB2" w14:textId="306037A6" w:rsidR="00FF46F4" w:rsidRDefault="00FF46F4" w:rsidP="006469A7">
      <w:pPr>
        <w:pStyle w:val="ListParagraph"/>
        <w:numPr>
          <w:ilvl w:val="0"/>
          <w:numId w:val="44"/>
        </w:numPr>
      </w:pPr>
      <w:r>
        <w:rPr>
          <w:b/>
        </w:rPr>
        <w:t>Adaptation layer</w:t>
      </w:r>
      <w:r w:rsidR="008B6D1F">
        <w:rPr>
          <w:b/>
        </w:rPr>
        <w:t xml:space="preserve"> complexity</w:t>
      </w:r>
      <w:r>
        <w:rPr>
          <w:b/>
        </w:rPr>
        <w:t xml:space="preserve"> </w:t>
      </w:r>
      <w:r>
        <w:t>– On the other hand, architecture 1a requires incorporation of GTP-U and IP header information into the adaptation layer to be carried to the DU at the serving IAB node. This introduces additional functionality that needs to be standardized at the adaptation layer. Additionally, since the adaptati</w:t>
      </w:r>
      <w:r w:rsidR="001D2324">
        <w:t xml:space="preserve">on layer replaces the GTP-U and IP layers, it now needs to bear the responsibility of routing the PDCP PDUs to the appropriate IAB node. </w:t>
      </w:r>
      <w:r w:rsidR="008B6D1F">
        <w:t>Furthermore, since the adaptation layer tries to replace already standardized F1</w:t>
      </w:r>
      <w:r w:rsidR="00F35BBF">
        <w:t>-U</w:t>
      </w:r>
      <w:r w:rsidR="008B6D1F">
        <w:t xml:space="preserve"> interface functionality, it needs to be evalua</w:t>
      </w:r>
      <w:r w:rsidR="00F35BBF">
        <w:t xml:space="preserve">ted how much additional standardization complexity is introduced at the adaptation layer to fully preserve F1-U functions such as flow control, etc. </w:t>
      </w:r>
    </w:p>
    <w:p w14:paraId="091F22A5" w14:textId="6E098DE4" w:rsidR="008B6D1F" w:rsidRDefault="001D2324" w:rsidP="006469A7">
      <w:pPr>
        <w:pStyle w:val="ListParagraph"/>
        <w:numPr>
          <w:ilvl w:val="0"/>
          <w:numId w:val="44"/>
        </w:numPr>
      </w:pPr>
      <w:r>
        <w:rPr>
          <w:b/>
        </w:rPr>
        <w:t>Con</w:t>
      </w:r>
      <w:r w:rsidR="008A6AD9">
        <w:rPr>
          <w:b/>
        </w:rPr>
        <w:t xml:space="preserve">version of IAB node to IAB donor – </w:t>
      </w:r>
      <w:r w:rsidR="008A6AD9">
        <w:t xml:space="preserve">Since architecture 1b explicitly carries the F1-U interface to the DU at the serving IAB node, it seems that converting the IAB node to a IAB donor with a wired backhaul </w:t>
      </w:r>
      <w:r w:rsidR="008B6D1F">
        <w:t xml:space="preserve">may be more straightforward. However, it may be possible to design the adaptation layer to be such that even in architecture 1a, the adaptation layer presents the F1-U information to the DU at the serving IAB node in such a way that the DU functionality remains unchanged and conversion of an IAB node to an IAB donor may not be a major issue. However, it is possible that in the case of architecture 1a, </w:t>
      </w:r>
      <w:r w:rsidR="00F35BBF">
        <w:t xml:space="preserve">more thorough testing may be needed after conversion of IAB node to IAB donor, thereby introducing some operational costs. </w:t>
      </w:r>
    </w:p>
    <w:p w14:paraId="60D13245" w14:textId="5E9D8ADB" w:rsidR="001D2324" w:rsidRDefault="00F35BBF" w:rsidP="006469A7">
      <w:pPr>
        <w:pStyle w:val="ListParagraph"/>
        <w:numPr>
          <w:ilvl w:val="0"/>
          <w:numId w:val="44"/>
        </w:numPr>
      </w:pPr>
      <w:r w:rsidRPr="00F35BBF">
        <w:rPr>
          <w:b/>
        </w:rPr>
        <w:t>Route diversity</w:t>
      </w:r>
      <w:r>
        <w:t xml:space="preserve"> – For architecture 1b the MT at the serving IAB node has the full NR </w:t>
      </w:r>
      <w:proofErr w:type="spellStart"/>
      <w:r>
        <w:t>Uu</w:t>
      </w:r>
      <w:proofErr w:type="spellEnd"/>
      <w:r>
        <w:t xml:space="preserve"> stack. This makes it possible for the MT’s CU-UP to utilize PDCP layer-based packet duplication and dual connectivity procedures to inherently provide route diversity between the IAB donor to the serving IAB node. </w:t>
      </w:r>
      <w:r w:rsidR="006251BF">
        <w:t xml:space="preserve">This is shown in Figure 2c below. </w:t>
      </w:r>
      <w:r>
        <w:t xml:space="preserve">This </w:t>
      </w:r>
      <w:r w:rsidR="006251BF">
        <w:t xml:space="preserve">type of route diversity </w:t>
      </w:r>
      <w:r>
        <w:t>is not possible in architecture 1a. Architecture 1a relies on the adaptation layer for all routing features</w:t>
      </w:r>
      <w:r w:rsidR="006251BF">
        <w:t>, including route diversity</w:t>
      </w:r>
      <w:r>
        <w:t xml:space="preserve">. Since architecture 1b also relies on the adaptation </w:t>
      </w:r>
      <w:r w:rsidR="006251BF">
        <w:t xml:space="preserve">layer for hop-by-hop routing, it can exploit the benefits of both types of features depending upon the scenario. </w:t>
      </w:r>
    </w:p>
    <w:p w14:paraId="5CE4D6FD" w14:textId="77777777" w:rsidR="006251BF" w:rsidRDefault="006251BF" w:rsidP="006251BF">
      <w:pPr>
        <w:pStyle w:val="ListParagraph"/>
        <w:ind w:left="360"/>
      </w:pPr>
    </w:p>
    <w:p w14:paraId="6062CF72" w14:textId="15B48762" w:rsidR="006469A7" w:rsidRDefault="00E72253" w:rsidP="00E72253">
      <w:pPr>
        <w:jc w:val="center"/>
      </w:pPr>
      <w:r>
        <w:rPr>
          <w:noProof/>
        </w:rPr>
        <w:drawing>
          <wp:inline distT="0" distB="0" distL="0" distR="0" wp14:anchorId="49EAD7EC" wp14:editId="047B227D">
            <wp:extent cx="4783680" cy="164543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99020" cy="1650709"/>
                    </a:xfrm>
                    <a:prstGeom prst="rect">
                      <a:avLst/>
                    </a:prstGeom>
                    <a:noFill/>
                  </pic:spPr>
                </pic:pic>
              </a:graphicData>
            </a:graphic>
          </wp:inline>
        </w:drawing>
      </w:r>
    </w:p>
    <w:p w14:paraId="49BA7A71" w14:textId="7C77940A" w:rsidR="00E72253" w:rsidRDefault="00E72253" w:rsidP="00E72253">
      <w:pPr>
        <w:jc w:val="center"/>
      </w:pPr>
      <w:r>
        <w:t xml:space="preserve">Figure 2c. </w:t>
      </w:r>
      <w:r w:rsidR="0085631E">
        <w:t>Architecture 1b allows route diversity via PDCP-based packet duplication or dual connectivity</w:t>
      </w:r>
    </w:p>
    <w:p w14:paraId="5DF40B23" w14:textId="1A77B9FF" w:rsidR="00C26A7D" w:rsidRDefault="00C26A7D" w:rsidP="00C26A7D"/>
    <w:p w14:paraId="30E45915" w14:textId="77777777" w:rsidR="00E33442" w:rsidRDefault="00E33442" w:rsidP="00C26A7D">
      <w:pPr>
        <w:rPr>
          <w:b/>
        </w:rPr>
      </w:pPr>
      <w:r>
        <w:rPr>
          <w:b/>
        </w:rPr>
        <w:t>Observation</w:t>
      </w:r>
      <w:r w:rsidR="00CD79AE" w:rsidRPr="00D672CA">
        <w:rPr>
          <w:b/>
        </w:rPr>
        <w:t xml:space="preserve"> 1: </w:t>
      </w:r>
      <w:r>
        <w:rPr>
          <w:b/>
        </w:rPr>
        <w:t xml:space="preserve">There are pros and cons of both architectures 1a and 1b for backhauling of F1-U interface to DU of serving IAB node. </w:t>
      </w:r>
    </w:p>
    <w:p w14:paraId="35D97BF7" w14:textId="47D6FB76" w:rsidR="00574896" w:rsidRDefault="00E33442" w:rsidP="00C26A7D">
      <w:pPr>
        <w:rPr>
          <w:b/>
        </w:rPr>
      </w:pPr>
      <w:r>
        <w:rPr>
          <w:b/>
        </w:rPr>
        <w:t>Observation 2: Architecture 1b has some advantages compared to architecture 1a in terms of standardization complexity and ability to flexibly exploit either PDCP-layer based or adaptation layer based route diversity.</w:t>
      </w:r>
    </w:p>
    <w:p w14:paraId="1D79C3C6" w14:textId="69D197FA" w:rsidR="00E33442" w:rsidRPr="00D672CA" w:rsidRDefault="00E33442" w:rsidP="00C26A7D">
      <w:pPr>
        <w:rPr>
          <w:b/>
        </w:rPr>
      </w:pPr>
      <w:r>
        <w:rPr>
          <w:b/>
        </w:rPr>
        <w:t>Proposal 1</w:t>
      </w:r>
      <w:r w:rsidR="00B61DA2">
        <w:rPr>
          <w:b/>
        </w:rPr>
        <w:t>: I</w:t>
      </w:r>
      <w:r>
        <w:rPr>
          <w:b/>
        </w:rPr>
        <w:t>t is proposed that architecture 1b</w:t>
      </w:r>
      <w:r w:rsidR="00042C6B">
        <w:rPr>
          <w:b/>
        </w:rPr>
        <w:t xml:space="preserve"> is</w:t>
      </w:r>
      <w:r w:rsidR="00DC255E">
        <w:rPr>
          <w:b/>
        </w:rPr>
        <w:t xml:space="preserve"> adopted for backhauling</w:t>
      </w:r>
      <w:r w:rsidR="00A210F3">
        <w:rPr>
          <w:b/>
        </w:rPr>
        <w:t xml:space="preserve"> of F1-U</w:t>
      </w:r>
      <w:r w:rsidR="00042C6B">
        <w:rPr>
          <w:b/>
        </w:rPr>
        <w:t xml:space="preserve"> for IAB</w:t>
      </w:r>
      <w:r w:rsidR="00B61DA2">
        <w:rPr>
          <w:b/>
        </w:rPr>
        <w:t>.</w:t>
      </w:r>
    </w:p>
    <w:p w14:paraId="50D30AAA" w14:textId="77777777" w:rsidR="007B5790" w:rsidRDefault="007B5790" w:rsidP="008124BF"/>
    <w:p w14:paraId="6A8E2644" w14:textId="27772D2F" w:rsidR="00455F71" w:rsidRDefault="00455F71" w:rsidP="00455F71">
      <w:pPr>
        <w:pStyle w:val="Heading1"/>
      </w:pPr>
      <w:r>
        <w:lastRenderedPageBreak/>
        <w:t>Backhauling of F1-C for IAB with L2 Relayi</w:t>
      </w:r>
      <w:bookmarkStart w:id="3" w:name="_GoBack"/>
      <w:bookmarkEnd w:id="3"/>
      <w:r>
        <w:t>ng</w:t>
      </w:r>
    </w:p>
    <w:p w14:paraId="28EC2946" w14:textId="1FC875C4" w:rsidR="007B5790" w:rsidRDefault="007B5790" w:rsidP="00455F71">
      <w:r>
        <w:t>So far not much discussion has happened in RAN3 regarding back</w:t>
      </w:r>
      <w:r w:rsidR="008E3BCB">
        <w:t>hauling of F1-C for IAB. Some</w:t>
      </w:r>
      <w:r>
        <w:t xml:space="preserve"> considerations of backhauling of F1-C with L2 relaying are presented below for</w:t>
      </w:r>
      <w:r w:rsidR="008E3BCB">
        <w:t xml:space="preserve"> both architectures 1a and 1b</w:t>
      </w:r>
      <w:r>
        <w:t xml:space="preserve">. </w:t>
      </w:r>
    </w:p>
    <w:p w14:paraId="685AA6B5" w14:textId="53396592" w:rsidR="00A60B9D" w:rsidRDefault="00A60B9D" w:rsidP="00455F71">
      <w:r>
        <w:t xml:space="preserve">For architecture 1a, F1-AP transport needs to be provided via an SRB of the MT at the serving IAB node. A control plane protocol stack for F1-AP transport for architecture 1a is shown below. The transport could be done via a new RRC container over an existing SRB, or a new SRB could be defined specifically for F1-AP. Between these two options, transporting F1-AP via a new RRC container over an existing SRB of the MT at the serving IAB node may have lower standardization complexity. </w:t>
      </w:r>
    </w:p>
    <w:p w14:paraId="5BFA807B" w14:textId="1BCB0547" w:rsidR="00A60B9D" w:rsidRPr="00A60B9D" w:rsidRDefault="00E9779C" w:rsidP="00455F71">
      <w:pPr>
        <w:rPr>
          <w:b/>
        </w:rPr>
      </w:pPr>
      <w:r>
        <w:rPr>
          <w:b/>
        </w:rPr>
        <w:t>Observation 3</w:t>
      </w:r>
      <w:r w:rsidR="00A60B9D" w:rsidRPr="00A60B9D">
        <w:rPr>
          <w:b/>
        </w:rPr>
        <w:t>: For architecture 1a, F1-AP</w:t>
      </w:r>
      <w:r w:rsidR="00942AA2">
        <w:rPr>
          <w:b/>
        </w:rPr>
        <w:t xml:space="preserve"> transport</w:t>
      </w:r>
      <w:r w:rsidR="00A60B9D" w:rsidRPr="00A60B9D">
        <w:rPr>
          <w:b/>
        </w:rPr>
        <w:t xml:space="preserve"> via a new RRC container over an existing SRB of the MT at the serving IAB node may have lower standardization complexity.</w:t>
      </w:r>
    </w:p>
    <w:p w14:paraId="070966B7" w14:textId="4BE3690C" w:rsidR="00F66B14" w:rsidRDefault="00E11901" w:rsidP="00F80C3F">
      <w:pPr>
        <w:jc w:val="center"/>
      </w:pPr>
      <w:r>
        <w:rPr>
          <w:noProof/>
        </w:rPr>
        <w:drawing>
          <wp:inline distT="0" distB="0" distL="0" distR="0" wp14:anchorId="5995F7E8" wp14:editId="14575D45">
            <wp:extent cx="4191572" cy="152888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1895" cy="1561826"/>
                    </a:xfrm>
                    <a:prstGeom prst="rect">
                      <a:avLst/>
                    </a:prstGeom>
                    <a:noFill/>
                  </pic:spPr>
                </pic:pic>
              </a:graphicData>
            </a:graphic>
          </wp:inline>
        </w:drawing>
      </w:r>
    </w:p>
    <w:p w14:paraId="2C4D7432" w14:textId="6BA1D383" w:rsidR="00F66B14" w:rsidRDefault="00731F4C" w:rsidP="00F80C3F">
      <w:pPr>
        <w:jc w:val="center"/>
      </w:pPr>
      <w:r>
        <w:t>Figure 3</w:t>
      </w:r>
      <w:r w:rsidR="00F80C3F">
        <w:t>a. Backhauling of F1-C for architecture 1a</w:t>
      </w:r>
    </w:p>
    <w:p w14:paraId="3A3C3862" w14:textId="70BF5497" w:rsidR="00A60B9D" w:rsidRDefault="00A60B9D" w:rsidP="00A60B9D">
      <w:r>
        <w:t xml:space="preserve">Note that for architecture 1a, the use of DRB to transport F1-AP is not a viable option because DRBs are terminated at </w:t>
      </w:r>
      <w:r w:rsidR="00942AA2">
        <w:t>the CU-UP, and it may not always be possible to assume that the CU-UP and CU-CP are collocated due to separation of CU-UP and CU-CP with E1 interface [3]. This is especially true when CU-UP and CU-CP have different levels of centralization.</w:t>
      </w:r>
    </w:p>
    <w:p w14:paraId="771D21C2" w14:textId="051FA6A1" w:rsidR="00E9779C" w:rsidRDefault="00E9779C" w:rsidP="00A60B9D">
      <w:pPr>
        <w:rPr>
          <w:b/>
        </w:rPr>
      </w:pPr>
      <w:r w:rsidRPr="00E9779C">
        <w:rPr>
          <w:b/>
        </w:rPr>
        <w:t>Observation 4: For architecture 1a, the use of DRBs is not a viable option for F1-AP transport due</w:t>
      </w:r>
      <w:r w:rsidR="00950A48">
        <w:rPr>
          <w:b/>
        </w:rPr>
        <w:t xml:space="preserve"> to</w:t>
      </w:r>
      <w:r w:rsidRPr="00E9779C">
        <w:rPr>
          <w:b/>
        </w:rPr>
        <w:t xml:space="preserve"> separation of CU-UP and CU-CP.</w:t>
      </w:r>
    </w:p>
    <w:p w14:paraId="569324A7" w14:textId="772C89E1" w:rsidR="00E9779C" w:rsidRDefault="00E9779C" w:rsidP="00A60B9D">
      <w:r>
        <w:t xml:space="preserve">For architecture 1b, </w:t>
      </w:r>
      <w:r w:rsidR="004A7FD5">
        <w:t>a PDU session is established between the serving IAB node and</w:t>
      </w:r>
      <w:r w:rsidR="00346DAD">
        <w:t xml:space="preserve"> a UPF at the</w:t>
      </w:r>
      <w:r w:rsidR="004A7FD5">
        <w:t xml:space="preserve"> IAB donor. This requires the F1-AP transport to be accomplished via establishment of a DRB between the CU and serving </w:t>
      </w:r>
      <w:r w:rsidR="00346DAD">
        <w:t xml:space="preserve">IAB node. In this case, the CU-CP needs IP connectivity to the UPF </w:t>
      </w:r>
      <w:proofErr w:type="gramStart"/>
      <w:r w:rsidR="00346DAD">
        <w:t>in order to</w:t>
      </w:r>
      <w:proofErr w:type="gramEnd"/>
      <w:r w:rsidR="00346DAD">
        <w:t xml:space="preserve"> tunnel the F1-AP through the PDU session to the IAB serving node. An example control plane protocol stack for F1-AP transport via DRB for architecture 1b is shown below. </w:t>
      </w:r>
      <w:r w:rsidR="004A7FD5">
        <w:t xml:space="preserve"> </w:t>
      </w:r>
    </w:p>
    <w:p w14:paraId="02B26F02" w14:textId="10B6DB94" w:rsidR="00383E57" w:rsidRPr="00E9779C" w:rsidRDefault="00383E57" w:rsidP="00A60B9D">
      <w:r>
        <w:t>Architecture 1b requires F1-AP transport via CU-U</w:t>
      </w:r>
      <w:r w:rsidR="00EA0232">
        <w:t xml:space="preserve">P. In some specific scenarios of separation of CU-UP and CU-CP, it is possible that this additional connectivity via CU-UP may slightly increase the latency of F1-AP transport. However, it does not seem that this potential </w:t>
      </w:r>
      <w:r w:rsidR="001C4C18">
        <w:t>additional latency will cause any issues</w:t>
      </w:r>
      <w:r w:rsidR="007420B8">
        <w:t>. So, in summary it does not seem that either architecture 1a or 1b has a clear advantage for F1-AP transport.</w:t>
      </w:r>
    </w:p>
    <w:p w14:paraId="7C64E813" w14:textId="0DE63918" w:rsidR="00AE45B7" w:rsidRDefault="00AE45B7" w:rsidP="00AE45B7">
      <w:pPr>
        <w:jc w:val="center"/>
      </w:pPr>
      <w:r>
        <w:rPr>
          <w:noProof/>
        </w:rPr>
        <w:lastRenderedPageBreak/>
        <w:drawing>
          <wp:inline distT="0" distB="0" distL="0" distR="0" wp14:anchorId="4E23A973" wp14:editId="1A34BF4D">
            <wp:extent cx="5648791" cy="191386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95180" cy="1929578"/>
                    </a:xfrm>
                    <a:prstGeom prst="rect">
                      <a:avLst/>
                    </a:prstGeom>
                    <a:noFill/>
                  </pic:spPr>
                </pic:pic>
              </a:graphicData>
            </a:graphic>
          </wp:inline>
        </w:drawing>
      </w:r>
    </w:p>
    <w:p w14:paraId="2C18ABFB" w14:textId="00DE3786" w:rsidR="00AE45B7" w:rsidRDefault="00731F4C" w:rsidP="00AE45B7">
      <w:pPr>
        <w:jc w:val="center"/>
      </w:pPr>
      <w:r>
        <w:t>Figure 3</w:t>
      </w:r>
      <w:r w:rsidR="00AE45B7">
        <w:t>b. Backhauling of F1-C for architecture 1b</w:t>
      </w:r>
    </w:p>
    <w:p w14:paraId="7591BB46" w14:textId="6D721123" w:rsidR="00346DAD" w:rsidRDefault="00346DAD" w:rsidP="00346DAD">
      <w:pPr>
        <w:rPr>
          <w:b/>
        </w:rPr>
      </w:pPr>
      <w:r>
        <w:rPr>
          <w:b/>
        </w:rPr>
        <w:t>Observation 5</w:t>
      </w:r>
      <w:r w:rsidRPr="00E9779C">
        <w:rPr>
          <w:b/>
        </w:rPr>
        <w:t xml:space="preserve">: For architecture </w:t>
      </w:r>
      <w:r>
        <w:rPr>
          <w:b/>
        </w:rPr>
        <w:t>1b</w:t>
      </w:r>
      <w:r w:rsidRPr="00E9779C">
        <w:rPr>
          <w:b/>
        </w:rPr>
        <w:t xml:space="preserve">, </w:t>
      </w:r>
      <w:r>
        <w:rPr>
          <w:b/>
        </w:rPr>
        <w:t xml:space="preserve">F1-AP transport needs to be provided </w:t>
      </w:r>
      <w:r w:rsidRPr="00346DAD">
        <w:rPr>
          <w:b/>
        </w:rPr>
        <w:t xml:space="preserve">via establishment of a DRB between the CU and serving IAB node. In this case, the CU-CP needs IP connectivity to the UPF </w:t>
      </w:r>
      <w:proofErr w:type="gramStart"/>
      <w:r w:rsidRPr="00346DAD">
        <w:rPr>
          <w:b/>
        </w:rPr>
        <w:t>in order to</w:t>
      </w:r>
      <w:proofErr w:type="gramEnd"/>
      <w:r w:rsidRPr="00346DAD">
        <w:rPr>
          <w:b/>
        </w:rPr>
        <w:t xml:space="preserve"> tunnel the F1-AP through the PDU session to the IAB serving node.</w:t>
      </w:r>
    </w:p>
    <w:p w14:paraId="590F69FC" w14:textId="1B1EEDA7" w:rsidR="00455F71" w:rsidRPr="00BD659A" w:rsidRDefault="00E66E13" w:rsidP="00455F71">
      <w:pPr>
        <w:rPr>
          <w:b/>
        </w:rPr>
      </w:pPr>
      <w:r w:rsidRPr="00965B33">
        <w:rPr>
          <w:b/>
        </w:rPr>
        <w:t>O</w:t>
      </w:r>
      <w:r w:rsidR="00965B33" w:rsidRPr="00965B33">
        <w:rPr>
          <w:b/>
        </w:rPr>
        <w:t xml:space="preserve">bservation 6: </w:t>
      </w:r>
      <w:r w:rsidR="007420B8">
        <w:rPr>
          <w:b/>
        </w:rPr>
        <w:t>Neither a</w:t>
      </w:r>
      <w:r w:rsidR="00965B33" w:rsidRPr="00965B33">
        <w:rPr>
          <w:b/>
        </w:rPr>
        <w:t xml:space="preserve">rchitecture 1a </w:t>
      </w:r>
      <w:r w:rsidR="002D6C48">
        <w:rPr>
          <w:b/>
        </w:rPr>
        <w:t>n</w:t>
      </w:r>
      <w:r w:rsidR="00965B33" w:rsidRPr="00965B33">
        <w:rPr>
          <w:b/>
        </w:rPr>
        <w:t>or 1b has a</w:t>
      </w:r>
      <w:r w:rsidRPr="00965B33">
        <w:rPr>
          <w:b/>
        </w:rPr>
        <w:t xml:space="preserve"> clear advantage</w:t>
      </w:r>
      <w:r w:rsidR="000D0C89">
        <w:rPr>
          <w:b/>
        </w:rPr>
        <w:t xml:space="preserve"> for F1-AP transport</w:t>
      </w:r>
      <w:r w:rsidR="00965B33">
        <w:rPr>
          <w:b/>
        </w:rPr>
        <w:t>.</w:t>
      </w:r>
    </w:p>
    <w:p w14:paraId="6879EC81" w14:textId="707B49BF" w:rsidR="002D52C3" w:rsidRDefault="002D52C3" w:rsidP="000C5F30">
      <w:pPr>
        <w:rPr>
          <w:b/>
          <w:lang w:val="en-GB"/>
        </w:rPr>
      </w:pPr>
    </w:p>
    <w:p w14:paraId="70C82586" w14:textId="6A5BE23B" w:rsidR="008D04DC" w:rsidRDefault="007C3145" w:rsidP="008D04DC">
      <w:pPr>
        <w:pStyle w:val="Heading1"/>
      </w:pPr>
      <w:r>
        <w:t>Conclusion</w:t>
      </w:r>
    </w:p>
    <w:p w14:paraId="5D3F33F4" w14:textId="0B886E2F" w:rsidR="00F35C83" w:rsidRDefault="00A7768F" w:rsidP="00F35C83">
      <w:pPr>
        <w:rPr>
          <w:b/>
          <w:lang w:val="en-GB"/>
        </w:rPr>
      </w:pPr>
      <w:r>
        <w:rPr>
          <w:lang w:val="en-GB"/>
        </w:rPr>
        <w:t xml:space="preserve">In this </w:t>
      </w:r>
      <w:r w:rsidR="00D43FA6">
        <w:rPr>
          <w:lang w:val="en-GB"/>
        </w:rPr>
        <w:t>contribution,</w:t>
      </w:r>
      <w:r w:rsidR="00F91EE0">
        <w:rPr>
          <w:lang w:val="en-GB"/>
        </w:rPr>
        <w:t xml:space="preserve"> </w:t>
      </w:r>
      <w:r w:rsidR="00A63066">
        <w:rPr>
          <w:lang w:val="en-GB"/>
        </w:rPr>
        <w:t>so</w:t>
      </w:r>
      <w:r w:rsidR="00EC1272">
        <w:rPr>
          <w:lang w:val="en-GB"/>
        </w:rPr>
        <w:t>me considerations were presented for backhauling of F1-U and F1-</w:t>
      </w:r>
      <w:proofErr w:type="gramStart"/>
      <w:r w:rsidR="00EC1272">
        <w:rPr>
          <w:lang w:val="en-GB"/>
        </w:rPr>
        <w:t xml:space="preserve">C </w:t>
      </w:r>
      <w:r w:rsidR="00A63066">
        <w:rPr>
          <w:lang w:val="en-GB"/>
        </w:rPr>
        <w:t xml:space="preserve"> </w:t>
      </w:r>
      <w:r w:rsidR="00EC1272">
        <w:rPr>
          <w:lang w:val="en-GB"/>
        </w:rPr>
        <w:t>for</w:t>
      </w:r>
      <w:proofErr w:type="gramEnd"/>
      <w:r w:rsidR="00EC1272">
        <w:rPr>
          <w:lang w:val="en-GB"/>
        </w:rPr>
        <w:t xml:space="preserve"> IAB with L2 relaying</w:t>
      </w:r>
      <w:r w:rsidR="004373B3">
        <w:rPr>
          <w:lang w:val="en-GB"/>
        </w:rPr>
        <w:t>.</w:t>
      </w:r>
      <w:r w:rsidR="00EC1272">
        <w:rPr>
          <w:lang w:val="en-GB"/>
        </w:rPr>
        <w:t xml:space="preserve"> The following observations and </w:t>
      </w:r>
      <w:r w:rsidR="0055311C">
        <w:rPr>
          <w:lang w:val="en-GB"/>
        </w:rPr>
        <w:t>proposal</w:t>
      </w:r>
      <w:r w:rsidR="004373B3">
        <w:rPr>
          <w:lang w:val="en-GB"/>
        </w:rPr>
        <w:t>s</w:t>
      </w:r>
      <w:r w:rsidR="00F91EE0">
        <w:rPr>
          <w:lang w:val="en-GB"/>
        </w:rPr>
        <w:t xml:space="preserve"> we</w:t>
      </w:r>
      <w:r w:rsidR="00684402">
        <w:rPr>
          <w:lang w:val="en-GB"/>
        </w:rPr>
        <w:t>re offered for consideration</w:t>
      </w:r>
      <w:r w:rsidR="00EF3B5D">
        <w:rPr>
          <w:lang w:val="en-GB"/>
        </w:rPr>
        <w:t>:</w:t>
      </w:r>
    </w:p>
    <w:p w14:paraId="11F73872" w14:textId="77777777" w:rsidR="00E66E13" w:rsidRDefault="00E66E13" w:rsidP="00E66E13">
      <w:pPr>
        <w:rPr>
          <w:b/>
        </w:rPr>
      </w:pPr>
      <w:r>
        <w:rPr>
          <w:b/>
        </w:rPr>
        <w:t>Observation</w:t>
      </w:r>
      <w:r w:rsidRPr="00D672CA">
        <w:rPr>
          <w:b/>
        </w:rPr>
        <w:t xml:space="preserve"> 1: </w:t>
      </w:r>
      <w:r>
        <w:rPr>
          <w:b/>
        </w:rPr>
        <w:t xml:space="preserve">There are pros and cons of both architectures 1a and 1b for backhauling of F1-U interface to DU of serving IAB node. </w:t>
      </w:r>
    </w:p>
    <w:p w14:paraId="543D27A2" w14:textId="144E850E" w:rsidR="00E66E13" w:rsidRDefault="00E66E13" w:rsidP="00E66E13">
      <w:pPr>
        <w:rPr>
          <w:b/>
        </w:rPr>
      </w:pPr>
      <w:r>
        <w:rPr>
          <w:b/>
        </w:rPr>
        <w:t>Observation 2: Architecture 1b has some advantages compared to architecture 1a in terms of standardization complexity and ability to flexibly exploit either PDCP-layer based or adaptation layer based route diversity.</w:t>
      </w:r>
    </w:p>
    <w:p w14:paraId="237A94FF" w14:textId="77777777" w:rsidR="00E66E13" w:rsidRPr="00A60B9D" w:rsidRDefault="00E66E13" w:rsidP="00E66E13">
      <w:pPr>
        <w:rPr>
          <w:b/>
        </w:rPr>
      </w:pPr>
      <w:r>
        <w:rPr>
          <w:b/>
        </w:rPr>
        <w:t>Observation 3</w:t>
      </w:r>
      <w:r w:rsidRPr="00A60B9D">
        <w:rPr>
          <w:b/>
        </w:rPr>
        <w:t>: For architecture 1a, F1-AP</w:t>
      </w:r>
      <w:r>
        <w:rPr>
          <w:b/>
        </w:rPr>
        <w:t xml:space="preserve"> transport</w:t>
      </w:r>
      <w:r w:rsidRPr="00A60B9D">
        <w:rPr>
          <w:b/>
        </w:rPr>
        <w:t xml:space="preserve"> via a new RRC container over an existing SRB of the MT at the serving IAB node may have lower standardization complexity.</w:t>
      </w:r>
    </w:p>
    <w:p w14:paraId="216E3FFF" w14:textId="58E296CA" w:rsidR="00E66E13" w:rsidRDefault="00E66E13" w:rsidP="00E66E13">
      <w:pPr>
        <w:rPr>
          <w:b/>
        </w:rPr>
      </w:pPr>
      <w:r w:rsidRPr="00E9779C">
        <w:rPr>
          <w:b/>
        </w:rPr>
        <w:t>Observation 4: For architecture 1a, the use of DRBs is not a viable option for F1-AP transport due</w:t>
      </w:r>
      <w:r w:rsidR="00950A48">
        <w:rPr>
          <w:b/>
        </w:rPr>
        <w:t xml:space="preserve"> to</w:t>
      </w:r>
      <w:r w:rsidRPr="00E9779C">
        <w:rPr>
          <w:b/>
        </w:rPr>
        <w:t xml:space="preserve"> separation of CU-UP and CU-CP.</w:t>
      </w:r>
    </w:p>
    <w:p w14:paraId="2B2AF3FD" w14:textId="77777777" w:rsidR="00E66E13" w:rsidRDefault="00E66E13" w:rsidP="00E66E13">
      <w:pPr>
        <w:rPr>
          <w:b/>
        </w:rPr>
      </w:pPr>
      <w:r>
        <w:rPr>
          <w:b/>
        </w:rPr>
        <w:t>Observation 5</w:t>
      </w:r>
      <w:r w:rsidRPr="00E9779C">
        <w:rPr>
          <w:b/>
        </w:rPr>
        <w:t xml:space="preserve">: For architecture </w:t>
      </w:r>
      <w:r>
        <w:rPr>
          <w:b/>
        </w:rPr>
        <w:t>1b</w:t>
      </w:r>
      <w:r w:rsidRPr="00E9779C">
        <w:rPr>
          <w:b/>
        </w:rPr>
        <w:t xml:space="preserve">, </w:t>
      </w:r>
      <w:r>
        <w:rPr>
          <w:b/>
        </w:rPr>
        <w:t xml:space="preserve">F1-AP transport needs to be provided </w:t>
      </w:r>
      <w:r w:rsidRPr="00346DAD">
        <w:rPr>
          <w:b/>
        </w:rPr>
        <w:t xml:space="preserve">via establishment of a DRB between the CU and serving IAB node. In this case, the CU-CP needs IP connectivity to the UPF </w:t>
      </w:r>
      <w:proofErr w:type="gramStart"/>
      <w:r w:rsidRPr="00346DAD">
        <w:rPr>
          <w:b/>
        </w:rPr>
        <w:t>in order to</w:t>
      </w:r>
      <w:proofErr w:type="gramEnd"/>
      <w:r w:rsidRPr="00346DAD">
        <w:rPr>
          <w:b/>
        </w:rPr>
        <w:t xml:space="preserve"> tunnel the F1-AP through the PDU session to the IAB serving node.</w:t>
      </w:r>
    </w:p>
    <w:p w14:paraId="23533504" w14:textId="5E5FF905" w:rsidR="00E66E13" w:rsidRDefault="00965B33" w:rsidP="00E66E13">
      <w:pPr>
        <w:rPr>
          <w:b/>
        </w:rPr>
      </w:pPr>
      <w:r w:rsidRPr="00965B33">
        <w:rPr>
          <w:b/>
        </w:rPr>
        <w:t xml:space="preserve">Observation 6: </w:t>
      </w:r>
      <w:r w:rsidR="007420B8">
        <w:rPr>
          <w:b/>
        </w:rPr>
        <w:t>Neither a</w:t>
      </w:r>
      <w:r w:rsidRPr="00965B33">
        <w:rPr>
          <w:b/>
        </w:rPr>
        <w:t xml:space="preserve">rchitecture 1a </w:t>
      </w:r>
      <w:r w:rsidR="002D6C48">
        <w:rPr>
          <w:b/>
        </w:rPr>
        <w:t>n</w:t>
      </w:r>
      <w:r w:rsidRPr="00965B33">
        <w:rPr>
          <w:b/>
        </w:rPr>
        <w:t>or 1b has a clear advantage</w:t>
      </w:r>
      <w:r w:rsidR="000D0C89">
        <w:rPr>
          <w:b/>
        </w:rPr>
        <w:t xml:space="preserve"> for F1-AP transport</w:t>
      </w:r>
      <w:r>
        <w:rPr>
          <w:b/>
        </w:rPr>
        <w:t>.</w:t>
      </w:r>
    </w:p>
    <w:p w14:paraId="492650DC" w14:textId="45C2DA5B" w:rsidR="00E66E13" w:rsidRPr="00D672CA" w:rsidRDefault="00E66E13" w:rsidP="00E66E13">
      <w:pPr>
        <w:rPr>
          <w:b/>
        </w:rPr>
      </w:pPr>
      <w:r>
        <w:rPr>
          <w:b/>
        </w:rPr>
        <w:t>Proposal 1: It is proposed that architecture 1b is adopted for backhauling of F1-U</w:t>
      </w:r>
      <w:r w:rsidR="00265913">
        <w:rPr>
          <w:b/>
        </w:rPr>
        <w:t xml:space="preserve"> </w:t>
      </w:r>
      <w:r>
        <w:rPr>
          <w:b/>
        </w:rPr>
        <w:t>for IAB.</w:t>
      </w:r>
    </w:p>
    <w:p w14:paraId="1E265CDE" w14:textId="77777777" w:rsidR="00AA4B8E" w:rsidRPr="00BF3B8F" w:rsidRDefault="00AA4B8E" w:rsidP="000303D7">
      <w:pPr>
        <w:rPr>
          <w:lang w:val="en-GB"/>
        </w:rPr>
      </w:pPr>
    </w:p>
    <w:p w14:paraId="3C099C76" w14:textId="7DA372BD" w:rsidR="00AF2C72" w:rsidRPr="006B13A0" w:rsidRDefault="00AF2C72" w:rsidP="006B13A0">
      <w:pPr>
        <w:pStyle w:val="Heading1"/>
      </w:pPr>
      <w:r>
        <w:lastRenderedPageBreak/>
        <w:t>Reference</w:t>
      </w:r>
    </w:p>
    <w:p w14:paraId="5908A04B" w14:textId="49FCB289" w:rsidR="00195FC3" w:rsidRDefault="0064521D" w:rsidP="00AF2C72">
      <w:pPr>
        <w:pStyle w:val="2222"/>
        <w:numPr>
          <w:ilvl w:val="0"/>
          <w:numId w:val="36"/>
        </w:numPr>
        <w:spacing w:after="120" w:line="288" w:lineRule="auto"/>
        <w:ind w:left="360" w:firstLineChars="0"/>
        <w:jc w:val="left"/>
        <w:rPr>
          <w:rFonts w:cs="Times New Roman"/>
          <w:lang w:eastAsia="ko-KR"/>
        </w:rPr>
      </w:pPr>
      <w:r>
        <w:rPr>
          <w:rFonts w:cs="Times New Roman"/>
          <w:lang w:eastAsia="ko-KR"/>
        </w:rPr>
        <w:t>RP-17</w:t>
      </w:r>
      <w:r w:rsidR="00D25060">
        <w:rPr>
          <w:rFonts w:cs="Times New Roman"/>
          <w:lang w:eastAsia="ko-KR"/>
        </w:rPr>
        <w:t>2290</w:t>
      </w:r>
      <w:r>
        <w:rPr>
          <w:rFonts w:cs="Times New Roman"/>
          <w:lang w:eastAsia="ko-KR"/>
        </w:rPr>
        <w:t>, Study on Integrated Access and Backhaul for NR, AT&amp;T, Qualcomm, Samsung.</w:t>
      </w:r>
    </w:p>
    <w:p w14:paraId="5E026F60" w14:textId="71401B73" w:rsidR="00226F8B" w:rsidRDefault="00195FC3">
      <w:pPr>
        <w:pStyle w:val="2222"/>
        <w:numPr>
          <w:ilvl w:val="0"/>
          <w:numId w:val="36"/>
        </w:numPr>
        <w:spacing w:after="120" w:line="288" w:lineRule="auto"/>
        <w:ind w:left="360" w:firstLineChars="0"/>
        <w:jc w:val="left"/>
        <w:rPr>
          <w:rFonts w:cs="Times New Roman"/>
          <w:lang w:eastAsia="ko-KR"/>
        </w:rPr>
      </w:pPr>
      <w:r>
        <w:rPr>
          <w:rFonts w:cs="Times New Roman"/>
          <w:lang w:eastAsia="ko-KR"/>
        </w:rPr>
        <w:t>3GPP TS 38.401 V15.0.0 (2017-12), NG-RAN Architecture description (Release 15)</w:t>
      </w:r>
      <w:r w:rsidR="00F1194D">
        <w:rPr>
          <w:rFonts w:cs="Times New Roman"/>
          <w:lang w:eastAsia="ko-KR"/>
        </w:rPr>
        <w:t>.</w:t>
      </w:r>
    </w:p>
    <w:p w14:paraId="436A0822" w14:textId="1EC43D34" w:rsidR="005D0BA5" w:rsidRDefault="005D0BA5">
      <w:pPr>
        <w:pStyle w:val="2222"/>
        <w:numPr>
          <w:ilvl w:val="0"/>
          <w:numId w:val="36"/>
        </w:numPr>
        <w:spacing w:after="120" w:line="288" w:lineRule="auto"/>
        <w:ind w:left="360" w:firstLineChars="0"/>
        <w:jc w:val="left"/>
        <w:rPr>
          <w:rFonts w:cs="Times New Roman"/>
          <w:lang w:eastAsia="ko-KR"/>
        </w:rPr>
      </w:pPr>
      <w:r>
        <w:rPr>
          <w:rFonts w:cs="Times New Roman"/>
          <w:lang w:eastAsia="ko-KR"/>
        </w:rPr>
        <w:t xml:space="preserve">RP-180326, </w:t>
      </w:r>
      <w:r w:rsidR="007A4287">
        <w:rPr>
          <w:rFonts w:cs="Times New Roman"/>
          <w:lang w:eastAsia="ko-KR"/>
        </w:rPr>
        <w:t xml:space="preserve">Core part: </w:t>
      </w:r>
      <w:r w:rsidR="007A4287" w:rsidRPr="007A4287">
        <w:rPr>
          <w:rFonts w:cs="Times New Roman"/>
          <w:lang w:eastAsia="ko-KR"/>
        </w:rPr>
        <w:t>Separation of CP and UP for Split Option 2 of NR</w:t>
      </w:r>
    </w:p>
    <w:p w14:paraId="5C8400CB" w14:textId="01BF54B1" w:rsidR="007A4287" w:rsidRPr="00195FC3" w:rsidRDefault="007A4287" w:rsidP="007A4287">
      <w:pPr>
        <w:pStyle w:val="2222"/>
        <w:spacing w:after="120" w:line="288" w:lineRule="auto"/>
        <w:ind w:firstLineChars="0" w:firstLine="0"/>
        <w:jc w:val="left"/>
        <w:rPr>
          <w:rFonts w:cs="Times New Roman"/>
          <w:lang w:eastAsia="ko-KR"/>
        </w:rPr>
      </w:pPr>
    </w:p>
    <w:sectPr w:rsidR="007A4287" w:rsidRPr="00195FC3" w:rsidSect="001D737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1DF5E" w14:textId="77777777" w:rsidR="00B85C8F" w:rsidRDefault="00B85C8F" w:rsidP="00A03DF3">
      <w:pPr>
        <w:spacing w:after="0"/>
      </w:pPr>
      <w:r>
        <w:separator/>
      </w:r>
    </w:p>
  </w:endnote>
  <w:endnote w:type="continuationSeparator" w:id="0">
    <w:p w14:paraId="013FA894" w14:textId="77777777" w:rsidR="00B85C8F" w:rsidRDefault="00B85C8F"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487D79" w:rsidRDefault="00487D7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487D79" w:rsidRDefault="00487D7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2E11332B" w:rsidR="00487D79" w:rsidRDefault="00487D7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527629">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7629">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706C" w14:textId="77777777" w:rsidR="000B3C8E" w:rsidRDefault="000B3C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395F7" w14:textId="77777777" w:rsidR="00B85C8F" w:rsidRDefault="00B85C8F" w:rsidP="00A03DF3">
      <w:pPr>
        <w:spacing w:after="0"/>
      </w:pPr>
      <w:r>
        <w:separator/>
      </w:r>
    </w:p>
  </w:footnote>
  <w:footnote w:type="continuationSeparator" w:id="0">
    <w:p w14:paraId="2C9A8EE6" w14:textId="77777777" w:rsidR="00B85C8F" w:rsidRDefault="00B85C8F"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487D79" w:rsidRDefault="00487D7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2359" w14:textId="77777777" w:rsidR="000B3C8E" w:rsidRDefault="000B3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372AA" w14:textId="77777777" w:rsidR="000B3C8E" w:rsidRDefault="000B3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0610762"/>
    <w:multiLevelType w:val="hybridMultilevel"/>
    <w:tmpl w:val="2CDEAC28"/>
    <w:lvl w:ilvl="0" w:tplc="AC826AF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817B8D"/>
    <w:multiLevelType w:val="hybridMultilevel"/>
    <w:tmpl w:val="C54A1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A86004"/>
    <w:multiLevelType w:val="hybridMultilevel"/>
    <w:tmpl w:val="3D7C4C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BD6FD8"/>
    <w:multiLevelType w:val="hybridMultilevel"/>
    <w:tmpl w:val="F97E08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F62A1B"/>
    <w:multiLevelType w:val="hybridMultilevel"/>
    <w:tmpl w:val="0DA24BE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0"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6"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37" w15:restartNumberingAfterBreak="0">
    <w:nsid w:val="735F4C75"/>
    <w:multiLevelType w:val="hybridMultilevel"/>
    <w:tmpl w:val="BB1CB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6"/>
  </w:num>
  <w:num w:numId="4">
    <w:abstractNumId w:val="6"/>
  </w:num>
  <w:num w:numId="5">
    <w:abstractNumId w:val="15"/>
  </w:num>
  <w:num w:numId="6">
    <w:abstractNumId w:val="8"/>
  </w:num>
  <w:num w:numId="7">
    <w:abstractNumId w:val="42"/>
  </w:num>
  <w:num w:numId="8">
    <w:abstractNumId w:val="24"/>
  </w:num>
  <w:num w:numId="9">
    <w:abstractNumId w:val="34"/>
  </w:num>
  <w:num w:numId="10">
    <w:abstractNumId w:val="3"/>
  </w:num>
  <w:num w:numId="11">
    <w:abstractNumId w:val="11"/>
  </w:num>
  <w:num w:numId="12">
    <w:abstractNumId w:val="33"/>
  </w:num>
  <w:num w:numId="13">
    <w:abstractNumId w:val="14"/>
  </w:num>
  <w:num w:numId="14">
    <w:abstractNumId w:val="21"/>
  </w:num>
  <w:num w:numId="15">
    <w:abstractNumId w:val="23"/>
  </w:num>
  <w:num w:numId="16">
    <w:abstractNumId w:val="35"/>
  </w:num>
  <w:num w:numId="17">
    <w:abstractNumId w:val="40"/>
  </w:num>
  <w:num w:numId="18">
    <w:abstractNumId w:val="1"/>
  </w:num>
  <w:num w:numId="19">
    <w:abstractNumId w:val="4"/>
  </w:num>
  <w:num w:numId="20">
    <w:abstractNumId w:val="32"/>
  </w:num>
  <w:num w:numId="21">
    <w:abstractNumId w:val="20"/>
  </w:num>
  <w:num w:numId="22">
    <w:abstractNumId w:val="22"/>
  </w:num>
  <w:num w:numId="23">
    <w:abstractNumId w:val="30"/>
  </w:num>
  <w:num w:numId="24">
    <w:abstractNumId w:val="25"/>
  </w:num>
  <w:num w:numId="25">
    <w:abstractNumId w:val="19"/>
  </w:num>
  <w:num w:numId="26">
    <w:abstractNumId w:val="41"/>
  </w:num>
  <w:num w:numId="27">
    <w:abstractNumId w:val="10"/>
  </w:num>
  <w:num w:numId="28">
    <w:abstractNumId w:val="39"/>
  </w:num>
  <w:num w:numId="29">
    <w:abstractNumId w:val="31"/>
  </w:num>
  <w:num w:numId="30">
    <w:abstractNumId w:val="7"/>
  </w:num>
  <w:num w:numId="31">
    <w:abstractNumId w:val="26"/>
  </w:num>
  <w:num w:numId="32">
    <w:abstractNumId w:val="28"/>
  </w:num>
  <w:num w:numId="33">
    <w:abstractNumId w:val="38"/>
  </w:num>
  <w:num w:numId="34">
    <w:abstractNumId w:val="37"/>
  </w:num>
  <w:num w:numId="35">
    <w:abstractNumId w:val="13"/>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17"/>
  </w:num>
  <w:num w:numId="39">
    <w:abstractNumId w:val="27"/>
  </w:num>
  <w:num w:numId="40">
    <w:abstractNumId w:val="9"/>
  </w:num>
  <w:num w:numId="41">
    <w:abstractNumId w:val="12"/>
  </w:num>
  <w:num w:numId="42">
    <w:abstractNumId w:val="5"/>
  </w:num>
  <w:num w:numId="43">
    <w:abstractNumId w:val="36"/>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595"/>
    <w:rsid w:val="00001FDA"/>
    <w:rsid w:val="00010AD5"/>
    <w:rsid w:val="00011622"/>
    <w:rsid w:val="0001527B"/>
    <w:rsid w:val="00015895"/>
    <w:rsid w:val="000159A3"/>
    <w:rsid w:val="00016C91"/>
    <w:rsid w:val="00027C22"/>
    <w:rsid w:val="00027EBC"/>
    <w:rsid w:val="000303D7"/>
    <w:rsid w:val="00030C32"/>
    <w:rsid w:val="00030F70"/>
    <w:rsid w:val="00033AB4"/>
    <w:rsid w:val="00035544"/>
    <w:rsid w:val="00035EA3"/>
    <w:rsid w:val="00036CD9"/>
    <w:rsid w:val="00042C6B"/>
    <w:rsid w:val="00043BFA"/>
    <w:rsid w:val="0004589F"/>
    <w:rsid w:val="00045958"/>
    <w:rsid w:val="00045CDA"/>
    <w:rsid w:val="00051B99"/>
    <w:rsid w:val="00066211"/>
    <w:rsid w:val="00066D52"/>
    <w:rsid w:val="0007152D"/>
    <w:rsid w:val="000832B2"/>
    <w:rsid w:val="0008638E"/>
    <w:rsid w:val="00090F30"/>
    <w:rsid w:val="00091745"/>
    <w:rsid w:val="00092FC7"/>
    <w:rsid w:val="000935E4"/>
    <w:rsid w:val="0009478A"/>
    <w:rsid w:val="000954F9"/>
    <w:rsid w:val="000959FE"/>
    <w:rsid w:val="000A006B"/>
    <w:rsid w:val="000A1C3B"/>
    <w:rsid w:val="000A3623"/>
    <w:rsid w:val="000A3742"/>
    <w:rsid w:val="000A4B9C"/>
    <w:rsid w:val="000A690F"/>
    <w:rsid w:val="000A7C5A"/>
    <w:rsid w:val="000B3C8E"/>
    <w:rsid w:val="000B4387"/>
    <w:rsid w:val="000B5342"/>
    <w:rsid w:val="000C2AB2"/>
    <w:rsid w:val="000C3241"/>
    <w:rsid w:val="000C54D1"/>
    <w:rsid w:val="000C5F30"/>
    <w:rsid w:val="000D0C89"/>
    <w:rsid w:val="000D0DED"/>
    <w:rsid w:val="000D0F48"/>
    <w:rsid w:val="000D44F3"/>
    <w:rsid w:val="000D7B19"/>
    <w:rsid w:val="000E201B"/>
    <w:rsid w:val="000E4677"/>
    <w:rsid w:val="000E4978"/>
    <w:rsid w:val="000E7D06"/>
    <w:rsid w:val="000F0E8F"/>
    <w:rsid w:val="000F10A1"/>
    <w:rsid w:val="000F70D6"/>
    <w:rsid w:val="001001EF"/>
    <w:rsid w:val="001026C3"/>
    <w:rsid w:val="00104EC2"/>
    <w:rsid w:val="00104F96"/>
    <w:rsid w:val="00105963"/>
    <w:rsid w:val="00107EBD"/>
    <w:rsid w:val="00112BF4"/>
    <w:rsid w:val="001153C1"/>
    <w:rsid w:val="0011607E"/>
    <w:rsid w:val="00116777"/>
    <w:rsid w:val="00116964"/>
    <w:rsid w:val="001215A0"/>
    <w:rsid w:val="00123BDE"/>
    <w:rsid w:val="001241AA"/>
    <w:rsid w:val="00125BD3"/>
    <w:rsid w:val="001268BD"/>
    <w:rsid w:val="00130532"/>
    <w:rsid w:val="001324C6"/>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35CB"/>
    <w:rsid w:val="00175C50"/>
    <w:rsid w:val="001764C0"/>
    <w:rsid w:val="00180BD3"/>
    <w:rsid w:val="00182D46"/>
    <w:rsid w:val="00183B2D"/>
    <w:rsid w:val="00184167"/>
    <w:rsid w:val="001867C5"/>
    <w:rsid w:val="0019306E"/>
    <w:rsid w:val="00195190"/>
    <w:rsid w:val="00195FC3"/>
    <w:rsid w:val="001968DB"/>
    <w:rsid w:val="001974D0"/>
    <w:rsid w:val="001A059E"/>
    <w:rsid w:val="001A0BC6"/>
    <w:rsid w:val="001A73F9"/>
    <w:rsid w:val="001B00DF"/>
    <w:rsid w:val="001B07D0"/>
    <w:rsid w:val="001B148E"/>
    <w:rsid w:val="001B1ED0"/>
    <w:rsid w:val="001B60A9"/>
    <w:rsid w:val="001B6C4D"/>
    <w:rsid w:val="001B7FC7"/>
    <w:rsid w:val="001C2188"/>
    <w:rsid w:val="001C3C25"/>
    <w:rsid w:val="001C4C18"/>
    <w:rsid w:val="001C5C93"/>
    <w:rsid w:val="001C6ABD"/>
    <w:rsid w:val="001D1411"/>
    <w:rsid w:val="001D2324"/>
    <w:rsid w:val="001D4912"/>
    <w:rsid w:val="001D502E"/>
    <w:rsid w:val="001D5464"/>
    <w:rsid w:val="001D7377"/>
    <w:rsid w:val="001E0FE1"/>
    <w:rsid w:val="001E7A26"/>
    <w:rsid w:val="001F0EBA"/>
    <w:rsid w:val="001F42C9"/>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26F8B"/>
    <w:rsid w:val="0023027D"/>
    <w:rsid w:val="002329AE"/>
    <w:rsid w:val="002343BE"/>
    <w:rsid w:val="00235F16"/>
    <w:rsid w:val="00235F95"/>
    <w:rsid w:val="00236601"/>
    <w:rsid w:val="00243337"/>
    <w:rsid w:val="00243B4D"/>
    <w:rsid w:val="00245D97"/>
    <w:rsid w:val="00247ECD"/>
    <w:rsid w:val="00250A2F"/>
    <w:rsid w:val="00250CF1"/>
    <w:rsid w:val="00250D87"/>
    <w:rsid w:val="0025103A"/>
    <w:rsid w:val="00251768"/>
    <w:rsid w:val="00252548"/>
    <w:rsid w:val="002525D1"/>
    <w:rsid w:val="00253CE0"/>
    <w:rsid w:val="0025521A"/>
    <w:rsid w:val="002632D5"/>
    <w:rsid w:val="002639F5"/>
    <w:rsid w:val="00264F59"/>
    <w:rsid w:val="00265913"/>
    <w:rsid w:val="0026628D"/>
    <w:rsid w:val="002665E9"/>
    <w:rsid w:val="00270E7D"/>
    <w:rsid w:val="00273449"/>
    <w:rsid w:val="00273B90"/>
    <w:rsid w:val="00276192"/>
    <w:rsid w:val="00276AAD"/>
    <w:rsid w:val="00277131"/>
    <w:rsid w:val="00280D6A"/>
    <w:rsid w:val="00282243"/>
    <w:rsid w:val="002947BA"/>
    <w:rsid w:val="00294E72"/>
    <w:rsid w:val="002A443F"/>
    <w:rsid w:val="002B113B"/>
    <w:rsid w:val="002B26F8"/>
    <w:rsid w:val="002B6ADF"/>
    <w:rsid w:val="002C49F0"/>
    <w:rsid w:val="002C68F6"/>
    <w:rsid w:val="002D0E77"/>
    <w:rsid w:val="002D1D49"/>
    <w:rsid w:val="002D52C3"/>
    <w:rsid w:val="002D566F"/>
    <w:rsid w:val="002D6C48"/>
    <w:rsid w:val="002D6FB7"/>
    <w:rsid w:val="002E026C"/>
    <w:rsid w:val="002E3614"/>
    <w:rsid w:val="002E37DE"/>
    <w:rsid w:val="002F0C46"/>
    <w:rsid w:val="002F1B33"/>
    <w:rsid w:val="002F3FC4"/>
    <w:rsid w:val="002F6E14"/>
    <w:rsid w:val="00301F11"/>
    <w:rsid w:val="00303721"/>
    <w:rsid w:val="00304012"/>
    <w:rsid w:val="00305BD0"/>
    <w:rsid w:val="0031220B"/>
    <w:rsid w:val="00312297"/>
    <w:rsid w:val="00316619"/>
    <w:rsid w:val="00317DDA"/>
    <w:rsid w:val="00320BD0"/>
    <w:rsid w:val="00323D1C"/>
    <w:rsid w:val="003246F3"/>
    <w:rsid w:val="003266DD"/>
    <w:rsid w:val="0033045D"/>
    <w:rsid w:val="00331DD7"/>
    <w:rsid w:val="0033264B"/>
    <w:rsid w:val="00332CC0"/>
    <w:rsid w:val="003336FC"/>
    <w:rsid w:val="003346E4"/>
    <w:rsid w:val="00337899"/>
    <w:rsid w:val="00337FAE"/>
    <w:rsid w:val="00340D03"/>
    <w:rsid w:val="0034274F"/>
    <w:rsid w:val="00343D0D"/>
    <w:rsid w:val="00346DAD"/>
    <w:rsid w:val="003547D5"/>
    <w:rsid w:val="003572C1"/>
    <w:rsid w:val="00357B90"/>
    <w:rsid w:val="00363E20"/>
    <w:rsid w:val="0036606A"/>
    <w:rsid w:val="0037404F"/>
    <w:rsid w:val="00374EB9"/>
    <w:rsid w:val="00375AB6"/>
    <w:rsid w:val="00376A4C"/>
    <w:rsid w:val="003778D9"/>
    <w:rsid w:val="00377A07"/>
    <w:rsid w:val="00382B8E"/>
    <w:rsid w:val="00383E57"/>
    <w:rsid w:val="00387A55"/>
    <w:rsid w:val="00390188"/>
    <w:rsid w:val="0039198A"/>
    <w:rsid w:val="00393F89"/>
    <w:rsid w:val="0039473D"/>
    <w:rsid w:val="003957DD"/>
    <w:rsid w:val="00395A22"/>
    <w:rsid w:val="003A157A"/>
    <w:rsid w:val="003A17F8"/>
    <w:rsid w:val="003A1BE3"/>
    <w:rsid w:val="003A1CDB"/>
    <w:rsid w:val="003A3C47"/>
    <w:rsid w:val="003A6195"/>
    <w:rsid w:val="003A78B4"/>
    <w:rsid w:val="003A79ED"/>
    <w:rsid w:val="003B28E2"/>
    <w:rsid w:val="003B3634"/>
    <w:rsid w:val="003B4545"/>
    <w:rsid w:val="003B5826"/>
    <w:rsid w:val="003B5C49"/>
    <w:rsid w:val="003C04C9"/>
    <w:rsid w:val="003C0E79"/>
    <w:rsid w:val="003C7444"/>
    <w:rsid w:val="003D19EF"/>
    <w:rsid w:val="003D2E6C"/>
    <w:rsid w:val="003D359A"/>
    <w:rsid w:val="003D41DA"/>
    <w:rsid w:val="003D53F0"/>
    <w:rsid w:val="003D6E67"/>
    <w:rsid w:val="003D7039"/>
    <w:rsid w:val="003E3239"/>
    <w:rsid w:val="003E3522"/>
    <w:rsid w:val="003E516B"/>
    <w:rsid w:val="003E6804"/>
    <w:rsid w:val="003E78B6"/>
    <w:rsid w:val="003E7DEE"/>
    <w:rsid w:val="003F18D4"/>
    <w:rsid w:val="003F1A54"/>
    <w:rsid w:val="003F6345"/>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5008"/>
    <w:rsid w:val="004373B3"/>
    <w:rsid w:val="004377F0"/>
    <w:rsid w:val="0044468E"/>
    <w:rsid w:val="004457B1"/>
    <w:rsid w:val="00446B9E"/>
    <w:rsid w:val="00451BA0"/>
    <w:rsid w:val="00455F71"/>
    <w:rsid w:val="00460FF1"/>
    <w:rsid w:val="00462337"/>
    <w:rsid w:val="00464EBF"/>
    <w:rsid w:val="004678E8"/>
    <w:rsid w:val="00470821"/>
    <w:rsid w:val="00477A4A"/>
    <w:rsid w:val="00484322"/>
    <w:rsid w:val="00484629"/>
    <w:rsid w:val="00487D79"/>
    <w:rsid w:val="00490FC9"/>
    <w:rsid w:val="00491CAF"/>
    <w:rsid w:val="00492AF8"/>
    <w:rsid w:val="004934E6"/>
    <w:rsid w:val="0049755C"/>
    <w:rsid w:val="004A361B"/>
    <w:rsid w:val="004A5460"/>
    <w:rsid w:val="004A6EA1"/>
    <w:rsid w:val="004A7A57"/>
    <w:rsid w:val="004A7FD5"/>
    <w:rsid w:val="004B1914"/>
    <w:rsid w:val="004B334F"/>
    <w:rsid w:val="004B3FE5"/>
    <w:rsid w:val="004B53E3"/>
    <w:rsid w:val="004B761C"/>
    <w:rsid w:val="004B7973"/>
    <w:rsid w:val="004C01AE"/>
    <w:rsid w:val="004C05ED"/>
    <w:rsid w:val="004C157C"/>
    <w:rsid w:val="004C5E1C"/>
    <w:rsid w:val="004C6E15"/>
    <w:rsid w:val="004D23C9"/>
    <w:rsid w:val="004D2D73"/>
    <w:rsid w:val="004D4847"/>
    <w:rsid w:val="004E24E6"/>
    <w:rsid w:val="004E2B12"/>
    <w:rsid w:val="004F14EC"/>
    <w:rsid w:val="005005DC"/>
    <w:rsid w:val="00502F81"/>
    <w:rsid w:val="00507616"/>
    <w:rsid w:val="00512C66"/>
    <w:rsid w:val="005132EB"/>
    <w:rsid w:val="00515991"/>
    <w:rsid w:val="00520D3A"/>
    <w:rsid w:val="00523E5C"/>
    <w:rsid w:val="00526E57"/>
    <w:rsid w:val="00527629"/>
    <w:rsid w:val="0052789C"/>
    <w:rsid w:val="00530A7F"/>
    <w:rsid w:val="00534474"/>
    <w:rsid w:val="00542900"/>
    <w:rsid w:val="00546C64"/>
    <w:rsid w:val="00547465"/>
    <w:rsid w:val="00550D62"/>
    <w:rsid w:val="005523E0"/>
    <w:rsid w:val="0055311C"/>
    <w:rsid w:val="0055425E"/>
    <w:rsid w:val="00554916"/>
    <w:rsid w:val="00556937"/>
    <w:rsid w:val="00557E3C"/>
    <w:rsid w:val="00560B0A"/>
    <w:rsid w:val="00566D2E"/>
    <w:rsid w:val="005672AD"/>
    <w:rsid w:val="0056776F"/>
    <w:rsid w:val="00572547"/>
    <w:rsid w:val="005745E3"/>
    <w:rsid w:val="00574896"/>
    <w:rsid w:val="00576219"/>
    <w:rsid w:val="00577765"/>
    <w:rsid w:val="00583324"/>
    <w:rsid w:val="00585441"/>
    <w:rsid w:val="0058635D"/>
    <w:rsid w:val="0058748B"/>
    <w:rsid w:val="00591605"/>
    <w:rsid w:val="00594E1F"/>
    <w:rsid w:val="005A13B6"/>
    <w:rsid w:val="005A15BD"/>
    <w:rsid w:val="005B4A31"/>
    <w:rsid w:val="005C17F4"/>
    <w:rsid w:val="005C1BF7"/>
    <w:rsid w:val="005C1CAB"/>
    <w:rsid w:val="005C5F6F"/>
    <w:rsid w:val="005C6FED"/>
    <w:rsid w:val="005D0BA5"/>
    <w:rsid w:val="005D4158"/>
    <w:rsid w:val="005D693B"/>
    <w:rsid w:val="005E303C"/>
    <w:rsid w:val="005E394B"/>
    <w:rsid w:val="005E617B"/>
    <w:rsid w:val="005E6E5E"/>
    <w:rsid w:val="005F2BEE"/>
    <w:rsid w:val="005F352C"/>
    <w:rsid w:val="005F49BE"/>
    <w:rsid w:val="005F62CC"/>
    <w:rsid w:val="005F78B3"/>
    <w:rsid w:val="006126DD"/>
    <w:rsid w:val="00614A69"/>
    <w:rsid w:val="0061677A"/>
    <w:rsid w:val="00616831"/>
    <w:rsid w:val="00620B9B"/>
    <w:rsid w:val="00622E16"/>
    <w:rsid w:val="00624938"/>
    <w:rsid w:val="00624F5C"/>
    <w:rsid w:val="006251BF"/>
    <w:rsid w:val="006254D9"/>
    <w:rsid w:val="0062730F"/>
    <w:rsid w:val="0062773D"/>
    <w:rsid w:val="00633588"/>
    <w:rsid w:val="00633A92"/>
    <w:rsid w:val="00636C9C"/>
    <w:rsid w:val="00637208"/>
    <w:rsid w:val="00640FCE"/>
    <w:rsid w:val="00641160"/>
    <w:rsid w:val="00644658"/>
    <w:rsid w:val="0064482B"/>
    <w:rsid w:val="0064521D"/>
    <w:rsid w:val="00645CBE"/>
    <w:rsid w:val="006469A7"/>
    <w:rsid w:val="00647991"/>
    <w:rsid w:val="00647AC9"/>
    <w:rsid w:val="00652B6D"/>
    <w:rsid w:val="0065305D"/>
    <w:rsid w:val="00653B6D"/>
    <w:rsid w:val="00655A41"/>
    <w:rsid w:val="00655B30"/>
    <w:rsid w:val="0065608D"/>
    <w:rsid w:val="0066172B"/>
    <w:rsid w:val="006625D4"/>
    <w:rsid w:val="00662774"/>
    <w:rsid w:val="0067232E"/>
    <w:rsid w:val="006740BC"/>
    <w:rsid w:val="00676C08"/>
    <w:rsid w:val="006774EA"/>
    <w:rsid w:val="006806F4"/>
    <w:rsid w:val="00682E8A"/>
    <w:rsid w:val="00683F52"/>
    <w:rsid w:val="00684402"/>
    <w:rsid w:val="00690ECB"/>
    <w:rsid w:val="00692A94"/>
    <w:rsid w:val="006931F2"/>
    <w:rsid w:val="00697235"/>
    <w:rsid w:val="00697CB2"/>
    <w:rsid w:val="006B13A0"/>
    <w:rsid w:val="006B20AF"/>
    <w:rsid w:val="006D06BF"/>
    <w:rsid w:val="006D4F51"/>
    <w:rsid w:val="006D71C6"/>
    <w:rsid w:val="006E3876"/>
    <w:rsid w:val="006E49A9"/>
    <w:rsid w:val="006E5D2D"/>
    <w:rsid w:val="006F1AB8"/>
    <w:rsid w:val="006F1DB7"/>
    <w:rsid w:val="006F467E"/>
    <w:rsid w:val="006F67B2"/>
    <w:rsid w:val="00700F24"/>
    <w:rsid w:val="00701722"/>
    <w:rsid w:val="00701AC6"/>
    <w:rsid w:val="00701D4D"/>
    <w:rsid w:val="007038C7"/>
    <w:rsid w:val="0071017C"/>
    <w:rsid w:val="007133C3"/>
    <w:rsid w:val="007150AB"/>
    <w:rsid w:val="00721AED"/>
    <w:rsid w:val="007220D3"/>
    <w:rsid w:val="007224EE"/>
    <w:rsid w:val="00723119"/>
    <w:rsid w:val="00723AD7"/>
    <w:rsid w:val="00724A2A"/>
    <w:rsid w:val="00726A03"/>
    <w:rsid w:val="007314F6"/>
    <w:rsid w:val="00731F4C"/>
    <w:rsid w:val="007354D0"/>
    <w:rsid w:val="007363D1"/>
    <w:rsid w:val="00737AE7"/>
    <w:rsid w:val="007420B8"/>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2137"/>
    <w:rsid w:val="00782F4C"/>
    <w:rsid w:val="007842E3"/>
    <w:rsid w:val="007854CB"/>
    <w:rsid w:val="00785FC0"/>
    <w:rsid w:val="00787355"/>
    <w:rsid w:val="00787DC9"/>
    <w:rsid w:val="007933F1"/>
    <w:rsid w:val="00794BEE"/>
    <w:rsid w:val="00795488"/>
    <w:rsid w:val="00795D96"/>
    <w:rsid w:val="007A4287"/>
    <w:rsid w:val="007A4702"/>
    <w:rsid w:val="007A5533"/>
    <w:rsid w:val="007A5A73"/>
    <w:rsid w:val="007B0698"/>
    <w:rsid w:val="007B1EF8"/>
    <w:rsid w:val="007B3085"/>
    <w:rsid w:val="007B3DE9"/>
    <w:rsid w:val="007B4487"/>
    <w:rsid w:val="007B4F78"/>
    <w:rsid w:val="007B5790"/>
    <w:rsid w:val="007B6396"/>
    <w:rsid w:val="007B6A8C"/>
    <w:rsid w:val="007B6F7A"/>
    <w:rsid w:val="007B777E"/>
    <w:rsid w:val="007C02F6"/>
    <w:rsid w:val="007C3145"/>
    <w:rsid w:val="007C3B30"/>
    <w:rsid w:val="007D025A"/>
    <w:rsid w:val="007D37A6"/>
    <w:rsid w:val="007D4364"/>
    <w:rsid w:val="007D4EF8"/>
    <w:rsid w:val="007E1361"/>
    <w:rsid w:val="007E3019"/>
    <w:rsid w:val="007E31D6"/>
    <w:rsid w:val="007E403A"/>
    <w:rsid w:val="007E466A"/>
    <w:rsid w:val="007E5AFA"/>
    <w:rsid w:val="007E67DA"/>
    <w:rsid w:val="007F08CC"/>
    <w:rsid w:val="007F1518"/>
    <w:rsid w:val="007F622A"/>
    <w:rsid w:val="00805CD7"/>
    <w:rsid w:val="00806F34"/>
    <w:rsid w:val="00811A50"/>
    <w:rsid w:val="008124BF"/>
    <w:rsid w:val="008169EA"/>
    <w:rsid w:val="00816FB9"/>
    <w:rsid w:val="00817943"/>
    <w:rsid w:val="008236D0"/>
    <w:rsid w:val="008255CA"/>
    <w:rsid w:val="00825EC8"/>
    <w:rsid w:val="00827431"/>
    <w:rsid w:val="008307E3"/>
    <w:rsid w:val="00832D6D"/>
    <w:rsid w:val="00835340"/>
    <w:rsid w:val="008365EB"/>
    <w:rsid w:val="00840100"/>
    <w:rsid w:val="00841D9F"/>
    <w:rsid w:val="00842CAE"/>
    <w:rsid w:val="00846200"/>
    <w:rsid w:val="00847215"/>
    <w:rsid w:val="0085091F"/>
    <w:rsid w:val="00853B77"/>
    <w:rsid w:val="0085631E"/>
    <w:rsid w:val="0086141D"/>
    <w:rsid w:val="008640DB"/>
    <w:rsid w:val="008645B9"/>
    <w:rsid w:val="00870B70"/>
    <w:rsid w:val="00872C91"/>
    <w:rsid w:val="00874247"/>
    <w:rsid w:val="0088025E"/>
    <w:rsid w:val="0088342F"/>
    <w:rsid w:val="00884757"/>
    <w:rsid w:val="008866D5"/>
    <w:rsid w:val="00886C69"/>
    <w:rsid w:val="00886FAA"/>
    <w:rsid w:val="00896357"/>
    <w:rsid w:val="00896ED9"/>
    <w:rsid w:val="008A0593"/>
    <w:rsid w:val="008A1B5D"/>
    <w:rsid w:val="008A5CC4"/>
    <w:rsid w:val="008A6AD9"/>
    <w:rsid w:val="008A7C64"/>
    <w:rsid w:val="008B2785"/>
    <w:rsid w:val="008B3683"/>
    <w:rsid w:val="008B4956"/>
    <w:rsid w:val="008B6D1F"/>
    <w:rsid w:val="008C3161"/>
    <w:rsid w:val="008C7323"/>
    <w:rsid w:val="008D04DC"/>
    <w:rsid w:val="008D098B"/>
    <w:rsid w:val="008D2A8E"/>
    <w:rsid w:val="008D3301"/>
    <w:rsid w:val="008D5128"/>
    <w:rsid w:val="008E0C3B"/>
    <w:rsid w:val="008E1849"/>
    <w:rsid w:val="008E332B"/>
    <w:rsid w:val="008E3BCB"/>
    <w:rsid w:val="008E4630"/>
    <w:rsid w:val="008E4A25"/>
    <w:rsid w:val="008E5AEC"/>
    <w:rsid w:val="008E6C81"/>
    <w:rsid w:val="008F1068"/>
    <w:rsid w:val="008F4B86"/>
    <w:rsid w:val="00901CEB"/>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36573"/>
    <w:rsid w:val="00940F70"/>
    <w:rsid w:val="00942AA2"/>
    <w:rsid w:val="00946F5B"/>
    <w:rsid w:val="009504F2"/>
    <w:rsid w:val="00950A48"/>
    <w:rsid w:val="00952338"/>
    <w:rsid w:val="0095273F"/>
    <w:rsid w:val="009535EE"/>
    <w:rsid w:val="00955118"/>
    <w:rsid w:val="00956E72"/>
    <w:rsid w:val="00957370"/>
    <w:rsid w:val="00961690"/>
    <w:rsid w:val="00963815"/>
    <w:rsid w:val="00965B33"/>
    <w:rsid w:val="0097289C"/>
    <w:rsid w:val="009739C0"/>
    <w:rsid w:val="00982817"/>
    <w:rsid w:val="00983362"/>
    <w:rsid w:val="009854DF"/>
    <w:rsid w:val="009867D6"/>
    <w:rsid w:val="00986E49"/>
    <w:rsid w:val="00990685"/>
    <w:rsid w:val="009906E8"/>
    <w:rsid w:val="00990A43"/>
    <w:rsid w:val="00997526"/>
    <w:rsid w:val="009A0E1B"/>
    <w:rsid w:val="009A2943"/>
    <w:rsid w:val="009A3908"/>
    <w:rsid w:val="009A55F5"/>
    <w:rsid w:val="009A5C07"/>
    <w:rsid w:val="009B34F4"/>
    <w:rsid w:val="009B3ABB"/>
    <w:rsid w:val="009B3CC5"/>
    <w:rsid w:val="009B63FE"/>
    <w:rsid w:val="009B6715"/>
    <w:rsid w:val="009C4798"/>
    <w:rsid w:val="009C7667"/>
    <w:rsid w:val="009C7C90"/>
    <w:rsid w:val="009D3945"/>
    <w:rsid w:val="009D3D65"/>
    <w:rsid w:val="009E04BB"/>
    <w:rsid w:val="009E3171"/>
    <w:rsid w:val="009E6668"/>
    <w:rsid w:val="009E7909"/>
    <w:rsid w:val="009E7DDF"/>
    <w:rsid w:val="009F225B"/>
    <w:rsid w:val="009F4239"/>
    <w:rsid w:val="009F6A8B"/>
    <w:rsid w:val="00A0043A"/>
    <w:rsid w:val="00A03B18"/>
    <w:rsid w:val="00A03DF3"/>
    <w:rsid w:val="00A04D00"/>
    <w:rsid w:val="00A126DF"/>
    <w:rsid w:val="00A17E1C"/>
    <w:rsid w:val="00A210F3"/>
    <w:rsid w:val="00A22287"/>
    <w:rsid w:val="00A24FFD"/>
    <w:rsid w:val="00A27BFE"/>
    <w:rsid w:val="00A35A20"/>
    <w:rsid w:val="00A36F7A"/>
    <w:rsid w:val="00A40933"/>
    <w:rsid w:val="00A411BA"/>
    <w:rsid w:val="00A42970"/>
    <w:rsid w:val="00A442F2"/>
    <w:rsid w:val="00A44E2F"/>
    <w:rsid w:val="00A45CAD"/>
    <w:rsid w:val="00A462B3"/>
    <w:rsid w:val="00A46AA0"/>
    <w:rsid w:val="00A57130"/>
    <w:rsid w:val="00A57378"/>
    <w:rsid w:val="00A605AD"/>
    <w:rsid w:val="00A60B9D"/>
    <w:rsid w:val="00A626F3"/>
    <w:rsid w:val="00A62AF6"/>
    <w:rsid w:val="00A62EBB"/>
    <w:rsid w:val="00A63066"/>
    <w:rsid w:val="00A63D5B"/>
    <w:rsid w:val="00A63F79"/>
    <w:rsid w:val="00A64200"/>
    <w:rsid w:val="00A65BAB"/>
    <w:rsid w:val="00A706A9"/>
    <w:rsid w:val="00A75D64"/>
    <w:rsid w:val="00A77589"/>
    <w:rsid w:val="00A7768F"/>
    <w:rsid w:val="00A82F9A"/>
    <w:rsid w:val="00A94718"/>
    <w:rsid w:val="00A96350"/>
    <w:rsid w:val="00AA02EB"/>
    <w:rsid w:val="00AA3049"/>
    <w:rsid w:val="00AA4B8E"/>
    <w:rsid w:val="00AA5ED1"/>
    <w:rsid w:val="00AA7889"/>
    <w:rsid w:val="00AA7B2F"/>
    <w:rsid w:val="00AB06E7"/>
    <w:rsid w:val="00AB2709"/>
    <w:rsid w:val="00AB397A"/>
    <w:rsid w:val="00AB595D"/>
    <w:rsid w:val="00AB67F7"/>
    <w:rsid w:val="00AC0C4D"/>
    <w:rsid w:val="00AC2C80"/>
    <w:rsid w:val="00AC7E9D"/>
    <w:rsid w:val="00AD46D6"/>
    <w:rsid w:val="00AD476B"/>
    <w:rsid w:val="00AD4E2E"/>
    <w:rsid w:val="00AE1C31"/>
    <w:rsid w:val="00AE2549"/>
    <w:rsid w:val="00AE45B7"/>
    <w:rsid w:val="00AE5E33"/>
    <w:rsid w:val="00AE5F35"/>
    <w:rsid w:val="00AE6679"/>
    <w:rsid w:val="00AE7311"/>
    <w:rsid w:val="00AE7D6E"/>
    <w:rsid w:val="00AF2C72"/>
    <w:rsid w:val="00AF32DD"/>
    <w:rsid w:val="00AF4C33"/>
    <w:rsid w:val="00AF4E20"/>
    <w:rsid w:val="00B0220C"/>
    <w:rsid w:val="00B10448"/>
    <w:rsid w:val="00B11FEC"/>
    <w:rsid w:val="00B1573B"/>
    <w:rsid w:val="00B15EE5"/>
    <w:rsid w:val="00B161CA"/>
    <w:rsid w:val="00B16D19"/>
    <w:rsid w:val="00B17D90"/>
    <w:rsid w:val="00B208AD"/>
    <w:rsid w:val="00B21435"/>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61DA2"/>
    <w:rsid w:val="00B625A0"/>
    <w:rsid w:val="00B635F9"/>
    <w:rsid w:val="00B64959"/>
    <w:rsid w:val="00B66C83"/>
    <w:rsid w:val="00B7005D"/>
    <w:rsid w:val="00B70289"/>
    <w:rsid w:val="00B70845"/>
    <w:rsid w:val="00B71769"/>
    <w:rsid w:val="00B75BAE"/>
    <w:rsid w:val="00B8083F"/>
    <w:rsid w:val="00B84308"/>
    <w:rsid w:val="00B85C8F"/>
    <w:rsid w:val="00B86C48"/>
    <w:rsid w:val="00B86D5E"/>
    <w:rsid w:val="00B86DDF"/>
    <w:rsid w:val="00B92C1A"/>
    <w:rsid w:val="00B9328C"/>
    <w:rsid w:val="00B940DF"/>
    <w:rsid w:val="00B973D0"/>
    <w:rsid w:val="00BA6439"/>
    <w:rsid w:val="00BB27DF"/>
    <w:rsid w:val="00BB7132"/>
    <w:rsid w:val="00BC2552"/>
    <w:rsid w:val="00BC622B"/>
    <w:rsid w:val="00BC6517"/>
    <w:rsid w:val="00BC66E7"/>
    <w:rsid w:val="00BC7F02"/>
    <w:rsid w:val="00BD2690"/>
    <w:rsid w:val="00BD5423"/>
    <w:rsid w:val="00BD659A"/>
    <w:rsid w:val="00BE0B73"/>
    <w:rsid w:val="00BE119E"/>
    <w:rsid w:val="00BE2BF0"/>
    <w:rsid w:val="00BE3275"/>
    <w:rsid w:val="00BE4FED"/>
    <w:rsid w:val="00BE540A"/>
    <w:rsid w:val="00BE6A8B"/>
    <w:rsid w:val="00BF1CCD"/>
    <w:rsid w:val="00BF3706"/>
    <w:rsid w:val="00BF3B8F"/>
    <w:rsid w:val="00C0337D"/>
    <w:rsid w:val="00C03938"/>
    <w:rsid w:val="00C03AC6"/>
    <w:rsid w:val="00C041A2"/>
    <w:rsid w:val="00C10662"/>
    <w:rsid w:val="00C13584"/>
    <w:rsid w:val="00C13C76"/>
    <w:rsid w:val="00C1412D"/>
    <w:rsid w:val="00C15431"/>
    <w:rsid w:val="00C20564"/>
    <w:rsid w:val="00C22111"/>
    <w:rsid w:val="00C23C35"/>
    <w:rsid w:val="00C24250"/>
    <w:rsid w:val="00C2535E"/>
    <w:rsid w:val="00C26211"/>
    <w:rsid w:val="00C26A7D"/>
    <w:rsid w:val="00C26EEA"/>
    <w:rsid w:val="00C30AC5"/>
    <w:rsid w:val="00C31268"/>
    <w:rsid w:val="00C32ABF"/>
    <w:rsid w:val="00C32E9D"/>
    <w:rsid w:val="00C3611F"/>
    <w:rsid w:val="00C366CB"/>
    <w:rsid w:val="00C414EE"/>
    <w:rsid w:val="00C50D06"/>
    <w:rsid w:val="00C50F1D"/>
    <w:rsid w:val="00C528CF"/>
    <w:rsid w:val="00C532A5"/>
    <w:rsid w:val="00C542D0"/>
    <w:rsid w:val="00C609A1"/>
    <w:rsid w:val="00C61851"/>
    <w:rsid w:val="00C63851"/>
    <w:rsid w:val="00C63E31"/>
    <w:rsid w:val="00C66201"/>
    <w:rsid w:val="00C74074"/>
    <w:rsid w:val="00C76A03"/>
    <w:rsid w:val="00C7787C"/>
    <w:rsid w:val="00C8028F"/>
    <w:rsid w:val="00C815AD"/>
    <w:rsid w:val="00C82538"/>
    <w:rsid w:val="00C85E94"/>
    <w:rsid w:val="00C871CD"/>
    <w:rsid w:val="00C90121"/>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1C52"/>
    <w:rsid w:val="00CF2D90"/>
    <w:rsid w:val="00CF3E9E"/>
    <w:rsid w:val="00CF51E5"/>
    <w:rsid w:val="00D01615"/>
    <w:rsid w:val="00D07A78"/>
    <w:rsid w:val="00D1087A"/>
    <w:rsid w:val="00D112AD"/>
    <w:rsid w:val="00D11AD9"/>
    <w:rsid w:val="00D11E75"/>
    <w:rsid w:val="00D21F62"/>
    <w:rsid w:val="00D25060"/>
    <w:rsid w:val="00D25618"/>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57A1"/>
    <w:rsid w:val="00D56CE1"/>
    <w:rsid w:val="00D6196D"/>
    <w:rsid w:val="00D62193"/>
    <w:rsid w:val="00D670B6"/>
    <w:rsid w:val="00D672CA"/>
    <w:rsid w:val="00D679A2"/>
    <w:rsid w:val="00D70BDF"/>
    <w:rsid w:val="00D730DD"/>
    <w:rsid w:val="00D753BC"/>
    <w:rsid w:val="00D757D5"/>
    <w:rsid w:val="00D773F5"/>
    <w:rsid w:val="00D844CD"/>
    <w:rsid w:val="00D86B14"/>
    <w:rsid w:val="00D86C0A"/>
    <w:rsid w:val="00D86CDE"/>
    <w:rsid w:val="00D91B82"/>
    <w:rsid w:val="00D923F2"/>
    <w:rsid w:val="00DA1B9A"/>
    <w:rsid w:val="00DA53F3"/>
    <w:rsid w:val="00DA60BB"/>
    <w:rsid w:val="00DA7B6D"/>
    <w:rsid w:val="00DB2528"/>
    <w:rsid w:val="00DB32D0"/>
    <w:rsid w:val="00DB7753"/>
    <w:rsid w:val="00DC255E"/>
    <w:rsid w:val="00DC5457"/>
    <w:rsid w:val="00DC69F1"/>
    <w:rsid w:val="00DE0754"/>
    <w:rsid w:val="00DE093B"/>
    <w:rsid w:val="00DE0A17"/>
    <w:rsid w:val="00DE1D60"/>
    <w:rsid w:val="00DE4BE7"/>
    <w:rsid w:val="00DE5572"/>
    <w:rsid w:val="00DE796D"/>
    <w:rsid w:val="00DF364B"/>
    <w:rsid w:val="00E030D4"/>
    <w:rsid w:val="00E03787"/>
    <w:rsid w:val="00E057EC"/>
    <w:rsid w:val="00E05BED"/>
    <w:rsid w:val="00E07DBF"/>
    <w:rsid w:val="00E116C9"/>
    <w:rsid w:val="00E11901"/>
    <w:rsid w:val="00E1405C"/>
    <w:rsid w:val="00E15D40"/>
    <w:rsid w:val="00E1663F"/>
    <w:rsid w:val="00E16740"/>
    <w:rsid w:val="00E228F6"/>
    <w:rsid w:val="00E23345"/>
    <w:rsid w:val="00E278E8"/>
    <w:rsid w:val="00E30F1A"/>
    <w:rsid w:val="00E332EB"/>
    <w:rsid w:val="00E33442"/>
    <w:rsid w:val="00E33EF2"/>
    <w:rsid w:val="00E372EA"/>
    <w:rsid w:val="00E42515"/>
    <w:rsid w:val="00E44770"/>
    <w:rsid w:val="00E513A1"/>
    <w:rsid w:val="00E522FE"/>
    <w:rsid w:val="00E543B1"/>
    <w:rsid w:val="00E57FF6"/>
    <w:rsid w:val="00E6533C"/>
    <w:rsid w:val="00E6667E"/>
    <w:rsid w:val="00E66E13"/>
    <w:rsid w:val="00E72253"/>
    <w:rsid w:val="00E72CE0"/>
    <w:rsid w:val="00E77A0D"/>
    <w:rsid w:val="00E77AC4"/>
    <w:rsid w:val="00E77F83"/>
    <w:rsid w:val="00E80422"/>
    <w:rsid w:val="00E8069D"/>
    <w:rsid w:val="00E82924"/>
    <w:rsid w:val="00E83A3A"/>
    <w:rsid w:val="00E857F7"/>
    <w:rsid w:val="00E85983"/>
    <w:rsid w:val="00E9695C"/>
    <w:rsid w:val="00E9755B"/>
    <w:rsid w:val="00E9779C"/>
    <w:rsid w:val="00EA0232"/>
    <w:rsid w:val="00EA4F7C"/>
    <w:rsid w:val="00EB3933"/>
    <w:rsid w:val="00EB3C1A"/>
    <w:rsid w:val="00EB3E74"/>
    <w:rsid w:val="00EB6F52"/>
    <w:rsid w:val="00EC0809"/>
    <w:rsid w:val="00EC1272"/>
    <w:rsid w:val="00EC3BD4"/>
    <w:rsid w:val="00EC4C97"/>
    <w:rsid w:val="00EC4E5C"/>
    <w:rsid w:val="00ED0713"/>
    <w:rsid w:val="00ED0E87"/>
    <w:rsid w:val="00ED75DE"/>
    <w:rsid w:val="00ED7BDC"/>
    <w:rsid w:val="00ED7F87"/>
    <w:rsid w:val="00EE3605"/>
    <w:rsid w:val="00EE69AF"/>
    <w:rsid w:val="00EE6EFD"/>
    <w:rsid w:val="00EE70BB"/>
    <w:rsid w:val="00EF1A68"/>
    <w:rsid w:val="00EF3B5D"/>
    <w:rsid w:val="00EF403E"/>
    <w:rsid w:val="00EF4AB2"/>
    <w:rsid w:val="00EF6701"/>
    <w:rsid w:val="00F0075E"/>
    <w:rsid w:val="00F032FE"/>
    <w:rsid w:val="00F03394"/>
    <w:rsid w:val="00F1194D"/>
    <w:rsid w:val="00F120E1"/>
    <w:rsid w:val="00F13188"/>
    <w:rsid w:val="00F13661"/>
    <w:rsid w:val="00F14D2B"/>
    <w:rsid w:val="00F15B55"/>
    <w:rsid w:val="00F16067"/>
    <w:rsid w:val="00F176BB"/>
    <w:rsid w:val="00F23797"/>
    <w:rsid w:val="00F249A4"/>
    <w:rsid w:val="00F307ED"/>
    <w:rsid w:val="00F31548"/>
    <w:rsid w:val="00F33E4A"/>
    <w:rsid w:val="00F35B9A"/>
    <w:rsid w:val="00F35BBF"/>
    <w:rsid w:val="00F35C83"/>
    <w:rsid w:val="00F420E7"/>
    <w:rsid w:val="00F42D8E"/>
    <w:rsid w:val="00F46DA6"/>
    <w:rsid w:val="00F51112"/>
    <w:rsid w:val="00F53F7C"/>
    <w:rsid w:val="00F558E7"/>
    <w:rsid w:val="00F62D70"/>
    <w:rsid w:val="00F66B14"/>
    <w:rsid w:val="00F66B33"/>
    <w:rsid w:val="00F670FA"/>
    <w:rsid w:val="00F67A74"/>
    <w:rsid w:val="00F71D1D"/>
    <w:rsid w:val="00F80C3F"/>
    <w:rsid w:val="00F8398C"/>
    <w:rsid w:val="00F85A4F"/>
    <w:rsid w:val="00F873FA"/>
    <w:rsid w:val="00F9037A"/>
    <w:rsid w:val="00F91EE0"/>
    <w:rsid w:val="00F92065"/>
    <w:rsid w:val="00F928B9"/>
    <w:rsid w:val="00F93A5B"/>
    <w:rsid w:val="00F93AB4"/>
    <w:rsid w:val="00F93C84"/>
    <w:rsid w:val="00FA0325"/>
    <w:rsid w:val="00FA3B6B"/>
    <w:rsid w:val="00FA7A9C"/>
    <w:rsid w:val="00FB0A2A"/>
    <w:rsid w:val="00FB10A8"/>
    <w:rsid w:val="00FB1B76"/>
    <w:rsid w:val="00FB1D13"/>
    <w:rsid w:val="00FB3296"/>
    <w:rsid w:val="00FB3504"/>
    <w:rsid w:val="00FB5080"/>
    <w:rsid w:val="00FB718D"/>
    <w:rsid w:val="00FC2F10"/>
    <w:rsid w:val="00FC3090"/>
    <w:rsid w:val="00FC3430"/>
    <w:rsid w:val="00FC5AE2"/>
    <w:rsid w:val="00FD5CB6"/>
    <w:rsid w:val="00FD6E38"/>
    <w:rsid w:val="00FE5061"/>
    <w:rsid w:val="00FF1A08"/>
    <w:rsid w:val="00FF3CC7"/>
    <w:rsid w:val="00FF46F4"/>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styleId="Revision">
    <w:name w:val="Revision"/>
    <w:hidden/>
    <w:uiPriority w:val="99"/>
    <w:semiHidden/>
    <w:rsid w:val="00DC5457"/>
    <w:pPr>
      <w:spacing w:after="0" w:line="240" w:lineRule="auto"/>
    </w:pPr>
    <w:rPr>
      <w:rFonts w:eastAsia="SimSun" w:cs="Times New Roman"/>
      <w:szCs w:val="20"/>
    </w:rPr>
  </w:style>
  <w:style w:type="paragraph" w:customStyle="1" w:styleId="EW">
    <w:name w:val="EW"/>
    <w:basedOn w:val="Normal"/>
    <w:rsid w:val="009906E8"/>
    <w:pPr>
      <w:keepLines/>
      <w:overflowPunct/>
      <w:autoSpaceDE/>
      <w:autoSpaceDN/>
      <w:adjustRightInd/>
      <w:spacing w:after="0"/>
      <w:ind w:left="1702" w:hanging="1418"/>
      <w:textAlignment w:val="auto"/>
    </w:pPr>
    <w:rPr>
      <w:rFonts w:ascii="Times New Roman" w:eastAsia="Malgun Gothic"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21859262">
      <w:bodyDiv w:val="1"/>
      <w:marLeft w:val="0"/>
      <w:marRight w:val="0"/>
      <w:marTop w:val="0"/>
      <w:marBottom w:val="0"/>
      <w:divBdr>
        <w:top w:val="none" w:sz="0" w:space="0" w:color="auto"/>
        <w:left w:val="none" w:sz="0" w:space="0" w:color="auto"/>
        <w:bottom w:val="none" w:sz="0" w:space="0" w:color="auto"/>
        <w:right w:val="none" w:sz="0" w:space="0" w:color="auto"/>
      </w:divBdr>
    </w:div>
    <w:div w:id="1026564414">
      <w:bodyDiv w:val="1"/>
      <w:marLeft w:val="0"/>
      <w:marRight w:val="0"/>
      <w:marTop w:val="0"/>
      <w:marBottom w:val="0"/>
      <w:divBdr>
        <w:top w:val="none" w:sz="0" w:space="0" w:color="auto"/>
        <w:left w:val="none" w:sz="0" w:space="0" w:color="auto"/>
        <w:bottom w:val="none" w:sz="0" w:space="0" w:color="auto"/>
        <w:right w:val="none" w:sz="0" w:space="0" w:color="auto"/>
      </w:divBdr>
    </w:div>
    <w:div w:id="121176896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8C7C5-0D3A-4FA6-B506-26BDA5C50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1375</TotalTime>
  <Pages>7</Pages>
  <Words>1993</Words>
  <Characters>11362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59</cp:revision>
  <dcterms:created xsi:type="dcterms:W3CDTF">2018-04-05T16:41:00Z</dcterms:created>
  <dcterms:modified xsi:type="dcterms:W3CDTF">2018-04-07T02:33:00Z</dcterms:modified>
</cp:coreProperties>
</file>